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10" w:rsidRDefault="00806E10" w:rsidP="00806E10">
      <w:pPr>
        <w:spacing w:line="540" w:lineRule="exact"/>
        <w:rPr>
          <w:rFonts w:ascii="仿宋_GB2312" w:eastAsia="仿宋_GB2312"/>
          <w:kern w:val="0"/>
        </w:rPr>
      </w:pPr>
      <w:bookmarkStart w:id="0" w:name="_GoBack"/>
      <w:r>
        <w:rPr>
          <w:rFonts w:ascii="仿宋_GB2312" w:eastAsia="仿宋_GB2312" w:hAnsi="宋体" w:hint="eastAsia"/>
          <w:kern w:val="0"/>
          <w:sz w:val="28"/>
        </w:rPr>
        <w:t>附</w:t>
      </w:r>
      <w:r>
        <w:rPr>
          <w:rFonts w:ascii="仿宋_GB2312" w:eastAsia="仿宋_GB2312" w:hAnsi="宋体"/>
          <w:kern w:val="0"/>
          <w:sz w:val="28"/>
        </w:rPr>
        <w:t>件：</w:t>
      </w:r>
      <w:r w:rsidRPr="000C7C2F">
        <w:rPr>
          <w:rFonts w:ascii="仿宋_GB2312" w:eastAsia="仿宋_GB2312" w:hAnsi="宋体" w:hint="eastAsia"/>
          <w:kern w:val="0"/>
          <w:sz w:val="28"/>
        </w:rPr>
        <w:t>应急发</w:t>
      </w:r>
      <w:r>
        <w:rPr>
          <w:rFonts w:ascii="仿宋_GB2312" w:eastAsia="仿宋_GB2312" w:hAnsi="宋体" w:hint="eastAsia"/>
          <w:kern w:val="0"/>
          <w:sz w:val="28"/>
        </w:rPr>
        <w:t>电设备</w:t>
      </w:r>
      <w:r w:rsidRPr="0026172D">
        <w:rPr>
          <w:rFonts w:ascii="仿宋_GB2312" w:eastAsia="仿宋_GB2312" w:hAnsi="宋体" w:hint="eastAsia"/>
          <w:kern w:val="0"/>
          <w:sz w:val="28"/>
        </w:rPr>
        <w:t>技术参数和配置要求</w:t>
      </w:r>
    </w:p>
    <w:bookmarkEnd w:id="0"/>
    <w:p w:rsidR="00B2317B" w:rsidRPr="000C7C2F" w:rsidRDefault="00B2317B" w:rsidP="00B2317B">
      <w:pPr>
        <w:spacing w:line="540" w:lineRule="exact"/>
        <w:jc w:val="center"/>
        <w:rPr>
          <w:rFonts w:ascii="仿宋_GB2312" w:eastAsia="仿宋_GB2312" w:hint="eastAsia"/>
          <w:b/>
          <w:kern w:val="0"/>
          <w:sz w:val="32"/>
          <w:szCs w:val="32"/>
        </w:rPr>
      </w:pPr>
      <w:r w:rsidRPr="000C7C2F">
        <w:rPr>
          <w:rFonts w:ascii="仿宋_GB2312" w:eastAsia="仿宋_GB2312" w:hAnsi="宋体" w:hint="eastAsia"/>
          <w:b/>
          <w:kern w:val="0"/>
          <w:sz w:val="32"/>
          <w:szCs w:val="32"/>
        </w:rPr>
        <w:t>应急发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电设备</w:t>
      </w:r>
      <w:r w:rsidRPr="000C7C2F">
        <w:rPr>
          <w:rFonts w:ascii="仿宋_GB2312" w:eastAsia="仿宋_GB2312" w:hAnsi="宋体" w:hint="eastAsia"/>
          <w:b/>
          <w:kern w:val="0"/>
          <w:sz w:val="32"/>
          <w:szCs w:val="32"/>
        </w:rPr>
        <w:t>技术参数和配置要求</w:t>
      </w:r>
    </w:p>
    <w:p w:rsidR="00B2317B" w:rsidRPr="000C7C2F" w:rsidRDefault="00B2317B" w:rsidP="00B2317B">
      <w:pPr>
        <w:spacing w:line="340" w:lineRule="exact"/>
        <w:jc w:val="center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（一）总体要求：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满足一楼、二楼机房用电要求，包括所有的设备及施工、供电线路改造。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国内工厂成套的柴油发电机组，发电机组生产厂具有发动机、发电机原厂的OEM（设备成套）授权书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柴油发电机组、防音箱、ATS双电源切换柜为同一厂家产品。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柴油发电机组具有手动启动和自动启动功能。当市电中断、缺项、欠压、超压时，机组在3秒内自动启动，当市电恢复正常时，机组自动冷却延时60秒后自动停机。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防音箱7米处82分贝，消音器内置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（二）柴油发电机组推</w:t>
      </w:r>
      <w:r w:rsidRPr="0026172D">
        <w:rPr>
          <w:rFonts w:ascii="仿宋_GB2312" w:eastAsia="仿宋_GB2312" w:hAnsi="宋体"/>
          <w:kern w:val="0"/>
          <w:sz w:val="28"/>
        </w:rPr>
        <w:t>荐</w:t>
      </w:r>
      <w:r w:rsidRPr="0026172D">
        <w:rPr>
          <w:rFonts w:ascii="仿宋_GB2312" w:eastAsia="仿宋_GB2312" w:hAnsi="宋体" w:hint="eastAsia"/>
          <w:kern w:val="0"/>
          <w:sz w:val="28"/>
        </w:rPr>
        <w:t>品牌为科勒、卡特别、雅柯斯、威能超能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柴油发电机组技术参数要求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常用功率/容量：≥800kW / 1000kVA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备用功率/容量：≥880kW / 1100kVA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额定功率因数：COSΦ=0.8（滞后）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额定输出电压：400V/230V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额定电流（常用/备用）：1443A/1587.5A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额定转速：1500rpm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额定频率：50Hz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启动控制方式：自动/手动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燃油牌号：标准0#轻柴油（常温）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稳态电压调整率（%）：</w:t>
      </w:r>
      <w:r w:rsidRPr="0026172D">
        <w:rPr>
          <w:rFonts w:ascii="仿宋_GB2312" w:eastAsia="仿宋_GB2312" w:hAnsi="宋体"/>
          <w:kern w:val="0"/>
          <w:sz w:val="28"/>
        </w:rPr>
        <w:t>≤±</w:t>
      </w:r>
      <w:r w:rsidRPr="0026172D">
        <w:rPr>
          <w:rFonts w:ascii="仿宋_GB2312" w:eastAsia="仿宋_GB2312" w:hAnsi="宋体" w:hint="eastAsia"/>
          <w:kern w:val="0"/>
          <w:sz w:val="28"/>
        </w:rPr>
        <w:t>1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电压波动率（%）：</w:t>
      </w:r>
      <w:r w:rsidRPr="0026172D">
        <w:rPr>
          <w:rFonts w:ascii="仿宋_GB2312" w:eastAsia="仿宋_GB2312" w:hAnsi="宋体"/>
          <w:kern w:val="0"/>
          <w:sz w:val="28"/>
        </w:rPr>
        <w:t>≤±</w:t>
      </w:r>
      <w:r w:rsidRPr="0026172D">
        <w:rPr>
          <w:rFonts w:ascii="仿宋_GB2312" w:eastAsia="仿宋_GB2312" w:hAnsi="宋体" w:hint="eastAsia"/>
          <w:kern w:val="0"/>
          <w:sz w:val="28"/>
        </w:rPr>
        <w:t>0.5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瞬态电压调整率（%）：＋20～－15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电压稳定时间（s）：</w:t>
      </w:r>
      <w:r w:rsidRPr="0026172D">
        <w:rPr>
          <w:rFonts w:ascii="仿宋_GB2312" w:eastAsia="仿宋_GB2312" w:hAnsi="宋体"/>
          <w:kern w:val="0"/>
          <w:sz w:val="28"/>
        </w:rPr>
        <w:t>≤</w:t>
      </w:r>
      <w:r w:rsidRPr="0026172D">
        <w:rPr>
          <w:rFonts w:ascii="仿宋_GB2312" w:eastAsia="仿宋_GB2312" w:hAnsi="宋体" w:hint="eastAsia"/>
          <w:kern w:val="0"/>
          <w:sz w:val="28"/>
        </w:rPr>
        <w:t>1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稳态频率调整率（%）：</w:t>
      </w:r>
      <w:r w:rsidRPr="0026172D">
        <w:rPr>
          <w:rFonts w:ascii="仿宋_GB2312" w:eastAsia="仿宋_GB2312" w:hAnsi="宋体"/>
          <w:kern w:val="0"/>
          <w:sz w:val="28"/>
        </w:rPr>
        <w:t>≤±</w:t>
      </w:r>
      <w:r w:rsidRPr="0026172D">
        <w:rPr>
          <w:rFonts w:ascii="仿宋_GB2312" w:eastAsia="仿宋_GB2312" w:hAnsi="宋体" w:hint="eastAsia"/>
          <w:kern w:val="0"/>
          <w:sz w:val="28"/>
        </w:rPr>
        <w:t>1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频率波动率（%）：</w:t>
      </w:r>
      <w:r w:rsidRPr="0026172D">
        <w:rPr>
          <w:rFonts w:ascii="仿宋_GB2312" w:eastAsia="仿宋_GB2312" w:hAnsi="宋体"/>
          <w:kern w:val="0"/>
          <w:sz w:val="28"/>
        </w:rPr>
        <w:t>≤±</w:t>
      </w:r>
      <w:r w:rsidRPr="0026172D">
        <w:rPr>
          <w:rFonts w:ascii="仿宋_GB2312" w:eastAsia="仿宋_GB2312" w:hAnsi="宋体" w:hint="eastAsia"/>
          <w:kern w:val="0"/>
          <w:sz w:val="28"/>
        </w:rPr>
        <w:t>0.5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瞬态频率调整率（%）：＋10～－7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频率稳定时间（S）：</w:t>
      </w:r>
      <w:r w:rsidRPr="0026172D">
        <w:rPr>
          <w:rFonts w:ascii="仿宋_GB2312" w:eastAsia="仿宋_GB2312" w:hAnsi="宋体"/>
          <w:kern w:val="0"/>
          <w:sz w:val="28"/>
        </w:rPr>
        <w:t>≤</w:t>
      </w:r>
      <w:r w:rsidRPr="0026172D">
        <w:rPr>
          <w:rFonts w:ascii="仿宋_GB2312" w:eastAsia="仿宋_GB2312" w:hAnsi="宋体" w:hint="eastAsia"/>
          <w:kern w:val="0"/>
          <w:sz w:val="28"/>
        </w:rPr>
        <w:t>3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燃油消耗（100%负载）：202 g/kW·h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机组重量：11000 kg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噪声（LP7m）：</w:t>
      </w:r>
      <w:r w:rsidRPr="0026172D">
        <w:rPr>
          <w:rFonts w:ascii="仿宋_GB2312" w:eastAsia="仿宋_GB2312" w:hAnsi="宋体"/>
          <w:kern w:val="0"/>
          <w:sz w:val="28"/>
        </w:rPr>
        <w:t>≤</w:t>
      </w:r>
      <w:r w:rsidRPr="0026172D">
        <w:rPr>
          <w:rFonts w:ascii="仿宋_GB2312" w:eastAsia="仿宋_GB2312" w:hAnsi="宋体" w:hint="eastAsia"/>
          <w:kern w:val="0"/>
          <w:sz w:val="28"/>
        </w:rPr>
        <w:t>82 dB（A）(以环保局现场检测为准)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保护功能：低油压、高水温、超速、过流等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外形尺寸：5900×2300×3000（ L×W×H mm）</w:t>
      </w:r>
    </w:p>
    <w:p w:rsidR="00B2317B" w:rsidRPr="0026172D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26172D">
        <w:rPr>
          <w:rFonts w:ascii="仿宋_GB2312" w:eastAsia="仿宋_GB2312" w:hAnsi="宋体" w:hint="eastAsia"/>
          <w:kern w:val="0"/>
          <w:sz w:val="28"/>
        </w:rPr>
        <w:t>二、</w:t>
      </w:r>
      <w:r w:rsidRPr="0026172D">
        <w:rPr>
          <w:rFonts w:ascii="仿宋_GB2312" w:eastAsia="仿宋_GB2312" w:hAnsi="宋体"/>
          <w:kern w:val="0"/>
          <w:sz w:val="28"/>
        </w:rPr>
        <w:t>配置</w:t>
      </w:r>
      <w:r w:rsidRPr="0026172D">
        <w:rPr>
          <w:rFonts w:ascii="仿宋_GB2312" w:eastAsia="仿宋_GB2312" w:hAnsi="宋体" w:hint="eastAsia"/>
          <w:kern w:val="0"/>
          <w:sz w:val="28"/>
        </w:rPr>
        <w:t>清</w:t>
      </w:r>
      <w:r w:rsidRPr="0026172D">
        <w:rPr>
          <w:rFonts w:ascii="仿宋_GB2312" w:eastAsia="仿宋_GB2312" w:hAnsi="宋体"/>
          <w:kern w:val="0"/>
          <w:sz w:val="28"/>
        </w:rPr>
        <w:t>单：</w:t>
      </w:r>
    </w:p>
    <w:tbl>
      <w:tblPr>
        <w:tblW w:w="9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867"/>
        <w:gridCol w:w="4961"/>
        <w:gridCol w:w="1128"/>
      </w:tblGrid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序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号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名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技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术要求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数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量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lastRenderedPageBreak/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柴油发动机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柴油发动机：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推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荐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品牌：原装进口德国奔驰、原装进口美国卡特、原装进口美国或英国康明斯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产地：德国、美国、英国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型号：投标商自行填写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型式：四冲程、水冷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缸数及排列类型：投标商自行填写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进气方式：涡轮增压、中冷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缸径×行程：投标商自定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排气量：≥30升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最大功率：≥960KW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额定功率：≥880KW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燃油消耗（升/小时）：≤205升/小时    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供油方式：电喷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调速方式：电子调速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调速方式：电子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压缩比：14：1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转    速：1500rpm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润滑油容量（升）：投标商自行填写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冷却液容量（升）：投标商自行填写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排气温度（℃）：投标商自行填写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排气流量（升/秒）：投标商自行填写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散热器冷却空气量（升/秒）：投标商自行填写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燃烧空气量（升/秒）：投标商自行填写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启动方式：DC24V电启动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交流发电机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交流发电机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推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荐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品牌：无锡斯坦福、福州利莱森玛 、美国卡特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产地：原装进口或国内独资厂、合资厂 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型号：投标商自行填写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型式：无刷、单轴承、旋转磁场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绝缘等级：H级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防护等级：IP23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励磁系统：辅助绕阻或永磁励磁、自动调节电压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标准温升：125℃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电压调整率：±0.5%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绕阻结构：2/3节距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lastRenderedPageBreak/>
              <w:t>电话谐波因素（THF）：≤2%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电话干扰因素（THF）：≤50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无线干扰：满足BS800和VD的G、N级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冷却系统：直接驱动离心式风扇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适应环境：海拔1000米、40℃环境温度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满足标准：GB755、BS5000第三部分,VDE0530、NEMA MG1-22, IEC-34、GSAC22-100、AS1359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lastRenderedPageBreak/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智慧型控制器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控制系统品牌：推荐国际著名品牌（英国深海、捷克科迈、科勒、卡特）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产地：原装进口或国内独资厂、合资厂                     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型号：投标商自行填写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控制系统的监控与保护柜安装于机组底座上。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控制系统配置如下：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柜内部件: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采用模块控制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静电电池充电器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紧急停止按钮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机组控制模块特征：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 xml:space="preserve">该模块用于监控市电供应并启动、停止备用机组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配置微处理器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市电与监控发动机性能与交流电机功率输出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机组接触器的自动控制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发光二级管报警指示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前面板配置计时器与报警跳闸点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简易按钮控制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柜内部件: 停止/重置 –手动–测试-自动–无声警报–开始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采用模块控制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显器能显示的测量结果：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>燃油油位百分比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 xml:space="preserve">机组电压 (相-相 /相-线)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发动机机油压力 (磅/平方英寸-巴)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机组电流(L1,L2,L3)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发动机温度(°C与°F)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机组频率(赫兹)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工厂电池电压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lastRenderedPageBreak/>
              <w:t xml:space="preserve">发动机运行小时计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市电电压(相-相相 -线)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机组千伏安，千瓦时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机组功率占额定功率的百分比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 Cos (σ)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报警: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速度过高/过低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电池电压过低/过高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启动与停止失败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充电失败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过流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机组电压过低/过高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机油压力过低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紧停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发动机温度过高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机组过载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负载不平衡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独立接地失败跳闸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二极管显示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面板显示的四个可调参数如下: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市电正常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机组正常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 xml:space="preserve">市电加载 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机组加载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lastRenderedPageBreak/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4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发动机驱动风扇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散热水箱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40℃环境温度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6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断路器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7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智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能</w:t>
            </w: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充电器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24V，恒压自控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8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缸套加热器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4KW，220V/380V，恒温自控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防音箱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D82BD7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钢结构底座，内置复合减震器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排烟消音器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(</w:t>
            </w: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内置式，位于防音箱内）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，防音箱及箱内所有设备，均需由发电机组厂家统一装配。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燃油箱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B519D1">
              <w:rPr>
                <w:rFonts w:ascii="仿宋_GB2312" w:eastAsia="仿宋_GB2312" w:hAnsi="宋体" w:hint="eastAsia"/>
                <w:kern w:val="0"/>
                <w:sz w:val="28"/>
              </w:rPr>
              <w:t>供8小时用燃油箱</w:t>
            </w: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（有效容量不小于1600升）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ATS双电源切换柜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1000A主开关.市电正常时，市电向负载供电，市电异常时（欠压、缺相、频率不稳），切换至发电机向负载供电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</w:t>
            </w:r>
          </w:p>
        </w:tc>
      </w:tr>
      <w:tr w:rsidR="00B2317B" w:rsidRPr="00861225" w:rsidTr="0077452F"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启动电瓶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24V</w:t>
            </w: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，</w:t>
            </w:r>
            <w:r w:rsidRPr="00740ACE">
              <w:rPr>
                <w:rFonts w:ascii="仿宋_GB2312" w:eastAsia="仿宋_GB2312" w:hAnsi="宋体"/>
                <w:kern w:val="0"/>
                <w:sz w:val="28"/>
              </w:rPr>
              <w:t>300AH</w:t>
            </w: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，免维护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1</w:t>
            </w: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套</w:t>
            </w:r>
          </w:p>
        </w:tc>
      </w:tr>
      <w:tr w:rsidR="00B2317B" w:rsidRPr="00861225" w:rsidTr="0077452F"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</w:rPr>
              <w:lastRenderedPageBreak/>
              <w:t>13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智能充电器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24V</w:t>
            </w: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，恒压自控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1</w:t>
            </w: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套</w:t>
            </w:r>
          </w:p>
        </w:tc>
      </w:tr>
      <w:tr w:rsidR="00B2317B" w:rsidRPr="00861225" w:rsidTr="0077452F"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机油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美浮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160</w:t>
            </w: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升</w:t>
            </w:r>
          </w:p>
        </w:tc>
      </w:tr>
      <w:tr w:rsidR="00B2317B" w:rsidRPr="00861225" w:rsidTr="0077452F"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柴油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中石油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500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升</w:t>
            </w:r>
          </w:p>
        </w:tc>
      </w:tr>
      <w:tr w:rsidR="00B2317B" w:rsidRPr="00861225" w:rsidTr="0077452F"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防冻液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 w:hint="eastAsia"/>
                <w:kern w:val="0"/>
                <w:sz w:val="28"/>
              </w:rPr>
              <w:t>美浮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740ACE">
              <w:rPr>
                <w:rFonts w:ascii="仿宋_GB2312" w:eastAsia="仿宋_GB2312" w:hAnsi="宋体"/>
                <w:kern w:val="0"/>
                <w:sz w:val="28"/>
              </w:rPr>
              <w:t>200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升</w:t>
            </w:r>
          </w:p>
        </w:tc>
      </w:tr>
      <w:tr w:rsidR="00B2317B" w:rsidRPr="00861225" w:rsidTr="0077452F">
        <w:trPr>
          <w:trHeight w:val="1985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材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料及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耗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1、发电机至配电室电缆：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>YJV22(3×240平方毫米+1×120平方毫米) ，数量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>120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>米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2、市电电缆：3×6平方毫米，数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量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>30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  <w:t>米</w:t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/>
                <w:kern w:val="0"/>
                <w:sz w:val="28"/>
              </w:rPr>
            </w:pP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3、钢筋混凝土水泥基础台：长7500*宽3500*高400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ab/>
            </w:r>
          </w:p>
          <w:p w:rsidR="00B2317B" w:rsidRPr="00861225" w:rsidRDefault="00B2317B" w:rsidP="0077452F">
            <w:pPr>
              <w:spacing w:line="340" w:lineRule="exact"/>
              <w:rPr>
                <w:rFonts w:ascii="仿宋_GB2312" w:eastAsia="仿宋_GB2312" w:hAnsi="宋体"/>
                <w:kern w:val="0"/>
                <w:sz w:val="28"/>
              </w:rPr>
            </w:pPr>
            <w:r w:rsidRPr="00861225">
              <w:rPr>
                <w:rFonts w:ascii="仿宋_GB2312" w:eastAsia="仿宋_GB2312" w:hAnsi="宋体"/>
                <w:kern w:val="0"/>
                <w:sz w:val="28"/>
              </w:rPr>
              <w:t>4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、</w:t>
            </w:r>
            <w:r>
              <w:rPr>
                <w:rFonts w:ascii="仿宋_GB2312" w:eastAsia="仿宋_GB2312" w:hAnsi="宋体" w:hint="eastAsia"/>
                <w:kern w:val="0"/>
                <w:sz w:val="28"/>
              </w:rPr>
              <w:t>往</w:t>
            </w:r>
            <w:r w:rsidRPr="00917206">
              <w:rPr>
                <w:rFonts w:ascii="仿宋_GB2312" w:eastAsia="仿宋_GB2312" w:hAnsi="宋体" w:hint="eastAsia"/>
                <w:kern w:val="0"/>
                <w:sz w:val="28"/>
              </w:rPr>
              <w:t>一、二楼机房电缆做中间头及接头，长度不足部分进行兑接延长</w:t>
            </w:r>
            <w:r w:rsidRPr="00861225">
              <w:rPr>
                <w:rFonts w:ascii="仿宋_GB2312" w:eastAsia="仿宋_GB2312" w:hAnsi="宋体"/>
                <w:kern w:val="0"/>
                <w:sz w:val="28"/>
              </w:rPr>
              <w:t>1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套</w:t>
            </w:r>
          </w:p>
          <w:p w:rsidR="00B2317B" w:rsidRDefault="00B2317B" w:rsidP="0077452F">
            <w:pPr>
              <w:spacing w:line="340" w:lineRule="exact"/>
              <w:rPr>
                <w:rFonts w:ascii="仿宋_GB2312" w:eastAsia="仿宋_GB2312" w:hAnsi="宋体"/>
                <w:kern w:val="0"/>
                <w:sz w:val="28"/>
              </w:rPr>
            </w:pPr>
            <w:r w:rsidRPr="00861225">
              <w:rPr>
                <w:rFonts w:ascii="仿宋_GB2312" w:eastAsia="仿宋_GB2312" w:hAnsi="宋体"/>
                <w:kern w:val="0"/>
                <w:sz w:val="28"/>
              </w:rPr>
              <w:t>5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、含</w:t>
            </w:r>
            <w:r w:rsidRPr="00D82BD7">
              <w:rPr>
                <w:rFonts w:ascii="仿宋_GB2312" w:eastAsia="仿宋_GB2312" w:hAnsi="宋体" w:hint="eastAsia"/>
                <w:kern w:val="0"/>
                <w:sz w:val="28"/>
              </w:rPr>
              <w:t>排烟弯头、排烟波纹管、</w:t>
            </w:r>
            <w:r>
              <w:rPr>
                <w:rFonts w:ascii="仿宋_GB2312" w:eastAsia="仿宋_GB2312" w:hAnsi="宋体" w:hint="eastAsia"/>
                <w:kern w:val="0"/>
                <w:sz w:val="28"/>
              </w:rPr>
              <w:t>及辅料</w:t>
            </w:r>
            <w:r>
              <w:rPr>
                <w:rFonts w:ascii="仿宋_GB2312" w:eastAsia="仿宋_GB2312" w:hAnsi="宋体"/>
                <w:kern w:val="0"/>
                <w:sz w:val="28"/>
              </w:rPr>
              <w:t>。</w:t>
            </w:r>
          </w:p>
          <w:p w:rsidR="00B2317B" w:rsidRPr="00D82BD7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  <w:r w:rsidRPr="00861225">
              <w:rPr>
                <w:rFonts w:ascii="仿宋_GB2312" w:eastAsia="仿宋_GB2312" w:hAnsi="宋体"/>
                <w:kern w:val="0"/>
                <w:sz w:val="28"/>
              </w:rPr>
              <w:t>6</w:t>
            </w:r>
            <w:r w:rsidRPr="00861225">
              <w:rPr>
                <w:rFonts w:ascii="仿宋_GB2312" w:eastAsia="仿宋_GB2312" w:hAnsi="宋体" w:hint="eastAsia"/>
                <w:kern w:val="0"/>
                <w:sz w:val="28"/>
              </w:rPr>
              <w:t>、含随机专用工具、随机资料,运输时加厚塑膜包装防止碰撞，易碎，防潮。</w:t>
            </w:r>
          </w:p>
          <w:p w:rsidR="00B2317B" w:rsidRPr="00740ACE" w:rsidRDefault="00B2317B" w:rsidP="0077452F">
            <w:pPr>
              <w:spacing w:line="340" w:lineRule="exact"/>
              <w:rPr>
                <w:rFonts w:ascii="仿宋_GB2312" w:eastAsia="仿宋_GB2312" w:hAnsi="宋体" w:hint="eastAsia"/>
                <w:kern w:val="0"/>
                <w:sz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7B" w:rsidRPr="00740ACE" w:rsidRDefault="00B2317B" w:rsidP="0077452F">
            <w:pPr>
              <w:spacing w:line="3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</w:rPr>
            </w:pPr>
          </w:p>
        </w:tc>
      </w:tr>
    </w:tbl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二、电缆连接要求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>
        <w:rPr>
          <w:rFonts w:ascii="仿宋_GB2312" w:eastAsia="仿宋_GB2312" w:hAnsi="宋体" w:hint="eastAsia"/>
          <w:kern w:val="0"/>
          <w:sz w:val="28"/>
        </w:rPr>
        <w:t xml:space="preserve"> 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（一）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柜主进线端市电接入方法：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 w:rsidRPr="00D82BD7">
        <w:rPr>
          <w:rFonts w:ascii="仿宋_GB2312" w:eastAsia="仿宋_GB2312" w:hAnsi="宋体"/>
          <w:kern w:val="0"/>
          <w:sz w:val="28"/>
        </w:rPr>
        <w:t>1</w:t>
      </w:r>
      <w:r w:rsidRPr="00D82BD7">
        <w:rPr>
          <w:rFonts w:ascii="仿宋_GB2312" w:eastAsia="仿宋_GB2312" w:hAnsi="宋体" w:hint="eastAsia"/>
          <w:kern w:val="0"/>
          <w:sz w:val="28"/>
        </w:rPr>
        <w:t>．一、二楼机房空调的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柜、</w:t>
      </w:r>
      <w:r w:rsidRPr="00D82BD7">
        <w:rPr>
          <w:rFonts w:ascii="仿宋_GB2312" w:eastAsia="仿宋_GB2312" w:hAnsi="宋体"/>
          <w:kern w:val="0"/>
          <w:sz w:val="28"/>
        </w:rPr>
        <w:t>UPS</w:t>
      </w:r>
      <w:r w:rsidRPr="00D82BD7">
        <w:rPr>
          <w:rFonts w:ascii="仿宋_GB2312" w:eastAsia="仿宋_GB2312" w:hAnsi="宋体" w:hint="eastAsia"/>
          <w:kern w:val="0"/>
          <w:sz w:val="28"/>
        </w:rPr>
        <w:t>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柜主进线端均从二楼配电室接入市电。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/>
          <w:kern w:val="0"/>
          <w:sz w:val="28"/>
        </w:rPr>
        <w:t>2</w:t>
      </w:r>
      <w:r w:rsidRPr="00D82BD7">
        <w:rPr>
          <w:rFonts w:ascii="仿宋_GB2312" w:eastAsia="仿宋_GB2312" w:hAnsi="宋体" w:hint="eastAsia"/>
          <w:kern w:val="0"/>
          <w:sz w:val="28"/>
        </w:rPr>
        <w:t>．一楼配电室新增的发电机组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柜主进线端从二楼配电室接入市电。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（二）发电机组接入方法：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1．一根3*240+1电缆接入新增加的1000ATS柜备用进线端。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2．三根3*240+1电缆接入新增加的1000ATS柜备内转换铜排上端。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 w:rsidRPr="00D82BD7">
        <w:rPr>
          <w:rFonts w:ascii="仿宋_GB2312" w:eastAsia="仿宋_GB2312" w:hAnsi="宋体" w:hint="eastAsia"/>
          <w:kern w:val="0"/>
          <w:sz w:val="28"/>
        </w:rPr>
        <w:t>（三）、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柜备用进线端发电机组接入方法：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/>
          <w:kern w:val="0"/>
          <w:sz w:val="28"/>
        </w:rPr>
      </w:pPr>
      <w:r w:rsidRPr="00D82BD7">
        <w:rPr>
          <w:rFonts w:ascii="仿宋_GB2312" w:eastAsia="仿宋_GB2312" w:hAnsi="宋体"/>
          <w:kern w:val="0"/>
          <w:sz w:val="28"/>
        </w:rPr>
        <w:t>1</w:t>
      </w:r>
      <w:r w:rsidRPr="00D82BD7">
        <w:rPr>
          <w:rFonts w:ascii="仿宋_GB2312" w:eastAsia="仿宋_GB2312" w:hAnsi="宋体" w:hint="eastAsia"/>
          <w:kern w:val="0"/>
          <w:sz w:val="28"/>
        </w:rPr>
        <w:t>．一楼机房空调的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柜，二楼机房空调的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柜、</w:t>
      </w:r>
      <w:r w:rsidRPr="00D82BD7">
        <w:rPr>
          <w:rFonts w:ascii="仿宋_GB2312" w:eastAsia="仿宋_GB2312" w:hAnsi="宋体"/>
          <w:kern w:val="0"/>
          <w:sz w:val="28"/>
        </w:rPr>
        <w:t>UPS</w:t>
      </w:r>
      <w:r w:rsidRPr="00D82BD7">
        <w:rPr>
          <w:rFonts w:ascii="仿宋_GB2312" w:eastAsia="仿宋_GB2312" w:hAnsi="宋体" w:hint="eastAsia"/>
          <w:kern w:val="0"/>
          <w:sz w:val="28"/>
        </w:rPr>
        <w:t>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柜备用进线端，从楼新增加的发电机组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柜输出端接入，原供向一楼、二楼的市电电缆及发电机电缆经过改造后，做为发电组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柜的输出电缆，不需要重新敷设电缆。</w:t>
      </w:r>
    </w:p>
    <w:p w:rsidR="00B2317B" w:rsidRPr="00D82BD7" w:rsidRDefault="00B2317B" w:rsidP="00B2317B">
      <w:pPr>
        <w:spacing w:line="340" w:lineRule="exact"/>
        <w:rPr>
          <w:rFonts w:ascii="仿宋_GB2312" w:eastAsia="仿宋_GB2312" w:hAnsi="宋体" w:hint="eastAsia"/>
          <w:kern w:val="0"/>
          <w:sz w:val="28"/>
        </w:rPr>
      </w:pPr>
      <w:r w:rsidRPr="00D82BD7">
        <w:rPr>
          <w:rFonts w:ascii="仿宋_GB2312" w:eastAsia="仿宋_GB2312" w:hAnsi="宋体"/>
          <w:kern w:val="0"/>
          <w:sz w:val="28"/>
        </w:rPr>
        <w:t>2</w:t>
      </w:r>
      <w:r w:rsidRPr="00D82BD7">
        <w:rPr>
          <w:rFonts w:ascii="仿宋_GB2312" w:eastAsia="仿宋_GB2312" w:hAnsi="宋体" w:hint="eastAsia"/>
          <w:kern w:val="0"/>
          <w:sz w:val="28"/>
        </w:rPr>
        <w:t>．一楼机房</w:t>
      </w:r>
      <w:r w:rsidRPr="00D82BD7">
        <w:rPr>
          <w:rFonts w:ascii="仿宋_GB2312" w:eastAsia="仿宋_GB2312" w:hAnsi="宋体"/>
          <w:kern w:val="0"/>
          <w:sz w:val="28"/>
        </w:rPr>
        <w:t>UPS</w:t>
      </w:r>
      <w:r w:rsidRPr="00D82BD7">
        <w:rPr>
          <w:rFonts w:ascii="仿宋_GB2312" w:eastAsia="仿宋_GB2312" w:hAnsi="宋体" w:hint="eastAsia"/>
          <w:kern w:val="0"/>
          <w:sz w:val="28"/>
        </w:rPr>
        <w:t>的进线端从一楼新发电机组</w:t>
      </w:r>
      <w:r w:rsidRPr="00D82BD7">
        <w:rPr>
          <w:rFonts w:ascii="仿宋_GB2312" w:eastAsia="仿宋_GB2312" w:hAnsi="宋体"/>
          <w:kern w:val="0"/>
          <w:sz w:val="28"/>
        </w:rPr>
        <w:t>ATS</w:t>
      </w:r>
      <w:r w:rsidRPr="00D82BD7">
        <w:rPr>
          <w:rFonts w:ascii="仿宋_GB2312" w:eastAsia="仿宋_GB2312" w:hAnsi="宋体" w:hint="eastAsia"/>
          <w:kern w:val="0"/>
          <w:sz w:val="28"/>
        </w:rPr>
        <w:t>柜出线端接入，原市电电缆经改造后，做为发电组电缆，不需要重新敷设电缆。</w:t>
      </w:r>
    </w:p>
    <w:p w:rsidR="00B2317B" w:rsidRPr="00D82BD7" w:rsidRDefault="00B2317B" w:rsidP="00B2317B">
      <w:pPr>
        <w:spacing w:line="360" w:lineRule="auto"/>
        <w:ind w:leftChars="100" w:left="635" w:hangingChars="177" w:hanging="425"/>
        <w:rPr>
          <w:rFonts w:ascii="Calibri" w:hAnsi="Calibri" w:hint="eastAsia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31"/>
        <w:tblW w:w="8715" w:type="dxa"/>
        <w:tblLook w:val="04A0" w:firstRow="1" w:lastRow="0" w:firstColumn="1" w:lastColumn="0" w:noHBand="0" w:noVBand="1"/>
      </w:tblPr>
      <w:tblGrid>
        <w:gridCol w:w="8715"/>
      </w:tblGrid>
      <w:tr w:rsidR="00B2317B" w:rsidRPr="00D82BD7" w:rsidTr="0077452F">
        <w:trPr>
          <w:trHeight w:val="315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17B" w:rsidRPr="00D82BD7" w:rsidRDefault="00B2317B" w:rsidP="0077452F">
            <w:pPr>
              <w:widowControl/>
              <w:ind w:left="426"/>
              <w:rPr>
                <w:rFonts w:ascii="Calibri" w:hAnsi="Calibri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B2317B" w:rsidRPr="00D82BD7" w:rsidRDefault="00B2317B" w:rsidP="00B2317B">
      <w:pPr>
        <w:jc w:val="left"/>
        <w:rPr>
          <w:rFonts w:ascii="宋体" w:cs="宋体"/>
          <w:color w:val="000000"/>
          <w:kern w:val="0"/>
          <w:sz w:val="20"/>
        </w:rPr>
      </w:pPr>
    </w:p>
    <w:p w:rsidR="00B2317B" w:rsidRPr="00313D77" w:rsidRDefault="00B2317B" w:rsidP="00B2317B">
      <w:pPr>
        <w:spacing w:line="440" w:lineRule="exact"/>
        <w:jc w:val="center"/>
        <w:rPr>
          <w:rFonts w:ascii="仿宋_GB2312" w:eastAsia="仿宋_GB2312" w:hAnsi="宋体" w:hint="eastAsia"/>
          <w:sz w:val="24"/>
          <w:szCs w:val="24"/>
        </w:rPr>
      </w:pPr>
    </w:p>
    <w:p w:rsidR="00806E10" w:rsidRPr="00B2317B" w:rsidRDefault="00806E10" w:rsidP="00806E10">
      <w:pPr>
        <w:spacing w:line="540" w:lineRule="exact"/>
        <w:jc w:val="center"/>
        <w:rPr>
          <w:rFonts w:ascii="仿宋_GB2312" w:eastAsia="仿宋_GB2312" w:hAnsi="宋体"/>
          <w:b/>
          <w:kern w:val="0"/>
          <w:sz w:val="32"/>
          <w:szCs w:val="32"/>
        </w:rPr>
      </w:pPr>
    </w:p>
    <w:sectPr w:rsidR="00806E10" w:rsidRPr="00B23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C0" w:rsidRDefault="009D17C0" w:rsidP="00B2317B">
      <w:r>
        <w:separator/>
      </w:r>
    </w:p>
  </w:endnote>
  <w:endnote w:type="continuationSeparator" w:id="0">
    <w:p w:rsidR="009D17C0" w:rsidRDefault="009D17C0" w:rsidP="00B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C0" w:rsidRDefault="009D17C0" w:rsidP="00B2317B">
      <w:r>
        <w:separator/>
      </w:r>
    </w:p>
  </w:footnote>
  <w:footnote w:type="continuationSeparator" w:id="0">
    <w:p w:rsidR="009D17C0" w:rsidRDefault="009D17C0" w:rsidP="00B23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10"/>
    <w:rsid w:val="006160DD"/>
    <w:rsid w:val="007C07A5"/>
    <w:rsid w:val="00806E10"/>
    <w:rsid w:val="009D17C0"/>
    <w:rsid w:val="00B2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69D16-1881-4480-8F60-77D243C2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E10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23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31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3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31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2016-10-28T10:53:00Z</dcterms:created>
  <dcterms:modified xsi:type="dcterms:W3CDTF">2016-10-31T00:42:00Z</dcterms:modified>
</cp:coreProperties>
</file>