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00" w:afterAutospacing="1"/>
        <w:ind w:firstLine="960" w:firstLineChars="200"/>
        <w:jc w:val="center"/>
        <w:rPr>
          <w:rFonts w:ascii="方正小标宋简体" w:eastAsia="方正小标宋简体" w:cs="方正小标宋简体"/>
          <w:color w:val="000000" w:themeColor="text1"/>
          <w:sz w:val="48"/>
          <w:szCs w:val="48"/>
        </w:rPr>
      </w:pPr>
    </w:p>
    <w:p>
      <w:pPr>
        <w:spacing w:after="100" w:afterAutospacing="1"/>
        <w:ind w:firstLine="960" w:firstLineChars="200"/>
        <w:jc w:val="center"/>
        <w:rPr>
          <w:rFonts w:ascii="方正小标宋简体" w:eastAsia="方正小标宋简体" w:cs="方正小标宋简体"/>
          <w:color w:val="000000" w:themeColor="text1"/>
          <w:sz w:val="48"/>
          <w:szCs w:val="48"/>
        </w:rPr>
      </w:pPr>
    </w:p>
    <w:p>
      <w:pPr>
        <w:spacing w:after="100" w:afterAutospacing="1"/>
        <w:ind w:firstLine="960" w:firstLineChars="200"/>
        <w:jc w:val="center"/>
        <w:rPr>
          <w:rFonts w:ascii="方正小标宋简体" w:eastAsia="方正小标宋简体" w:cs="方正小标宋简体"/>
          <w:color w:val="000000" w:themeColor="text1"/>
          <w:sz w:val="48"/>
          <w:szCs w:val="48"/>
        </w:rPr>
      </w:pPr>
      <w:r>
        <w:rPr>
          <w:rFonts w:hint="eastAsia" w:ascii="方正小标宋简体" w:eastAsia="方正小标宋简体" w:cs="方正小标宋简体"/>
          <w:color w:val="000000" w:themeColor="text1"/>
          <w:sz w:val="48"/>
          <w:szCs w:val="48"/>
        </w:rPr>
        <w:t>西北农林科技大学</w:t>
      </w:r>
    </w:p>
    <w:p>
      <w:pPr>
        <w:spacing w:after="100" w:afterAutospacing="1"/>
        <w:ind w:firstLine="960" w:firstLineChars="200"/>
        <w:jc w:val="center"/>
        <w:rPr>
          <w:rFonts w:ascii="方正小标宋简体" w:eastAsia="方正小标宋简体" w:cs="方正小标宋简体"/>
          <w:color w:val="000000" w:themeColor="text1"/>
          <w:sz w:val="48"/>
          <w:szCs w:val="48"/>
        </w:rPr>
      </w:pPr>
      <w:r>
        <w:rPr>
          <w:rFonts w:hint="eastAsia" w:ascii="方正小标宋简体" w:eastAsia="方正小标宋简体" w:cs="方正小标宋简体"/>
          <w:color w:val="000000" w:themeColor="text1"/>
          <w:sz w:val="48"/>
          <w:szCs w:val="48"/>
        </w:rPr>
        <w:t>2014年本科教学质量报告</w:t>
      </w:r>
    </w:p>
    <w:p>
      <w:pPr>
        <w:spacing w:after="100" w:afterAutospacing="1"/>
        <w:ind w:firstLine="960" w:firstLineChars="200"/>
        <w:rPr>
          <w:rFonts w:ascii="方正小标宋简体" w:eastAsia="方正小标宋简体" w:cs="方正小标宋简体"/>
          <w:color w:val="000000" w:themeColor="text1"/>
          <w:sz w:val="48"/>
          <w:szCs w:val="48"/>
        </w:rPr>
      </w:pPr>
    </w:p>
    <w:p>
      <w:pPr>
        <w:spacing w:after="100" w:afterAutospacing="1"/>
        <w:ind w:firstLine="600" w:firstLineChars="200"/>
        <w:rPr>
          <w:rFonts w:ascii="方正小标宋简体" w:eastAsia="方正小标宋简体" w:cs="方正小标宋简体"/>
          <w:color w:val="000000" w:themeColor="text1"/>
          <w:sz w:val="30"/>
          <w:szCs w:val="30"/>
        </w:rPr>
      </w:pPr>
    </w:p>
    <w:p>
      <w:pPr>
        <w:spacing w:after="100" w:afterAutospacing="1"/>
        <w:ind w:firstLine="960" w:firstLineChars="200"/>
        <w:rPr>
          <w:rFonts w:ascii="方正小标宋简体" w:eastAsia="方正小标宋简体" w:cs="方正小标宋简体"/>
          <w:color w:val="000000" w:themeColor="text1"/>
          <w:sz w:val="48"/>
          <w:szCs w:val="48"/>
        </w:rPr>
      </w:pPr>
    </w:p>
    <w:p>
      <w:pPr>
        <w:spacing w:after="100" w:afterAutospacing="1"/>
        <w:ind w:firstLine="960" w:firstLineChars="200"/>
        <w:rPr>
          <w:rFonts w:ascii="方正小标宋简体" w:eastAsia="方正小标宋简体" w:cs="方正小标宋简体"/>
          <w:color w:val="000000" w:themeColor="text1"/>
          <w:sz w:val="48"/>
          <w:szCs w:val="48"/>
        </w:rPr>
      </w:pPr>
    </w:p>
    <w:p>
      <w:pPr>
        <w:spacing w:after="100" w:afterAutospacing="1"/>
        <w:ind w:firstLine="960" w:firstLineChars="200"/>
        <w:rPr>
          <w:rFonts w:ascii="方正小标宋简体" w:eastAsia="方正小标宋简体" w:cs="方正小标宋简体"/>
          <w:color w:val="000000" w:themeColor="text1"/>
          <w:sz w:val="48"/>
          <w:szCs w:val="48"/>
        </w:rPr>
      </w:pPr>
    </w:p>
    <w:p>
      <w:pPr>
        <w:spacing w:after="100" w:afterAutospacing="1"/>
        <w:ind w:firstLine="960" w:firstLineChars="200"/>
        <w:rPr>
          <w:rFonts w:ascii="方正小标宋简体" w:eastAsia="方正小标宋简体" w:cs="方正小标宋简体"/>
          <w:color w:val="000000" w:themeColor="text1"/>
          <w:sz w:val="48"/>
          <w:szCs w:val="48"/>
        </w:rPr>
      </w:pPr>
    </w:p>
    <w:p>
      <w:pPr>
        <w:spacing w:after="100" w:afterAutospacing="1"/>
        <w:ind w:firstLine="960" w:firstLineChars="200"/>
        <w:rPr>
          <w:rFonts w:ascii="方正小标宋简体" w:eastAsia="方正小标宋简体" w:cs="方正小标宋简体"/>
          <w:color w:val="000000" w:themeColor="text1"/>
          <w:sz w:val="48"/>
          <w:szCs w:val="48"/>
        </w:rPr>
      </w:pPr>
    </w:p>
    <w:p>
      <w:pPr>
        <w:spacing w:after="100" w:afterAutospacing="1"/>
        <w:ind w:firstLine="960" w:firstLineChars="200"/>
        <w:rPr>
          <w:rFonts w:ascii="方正小标宋简体" w:eastAsia="方正小标宋简体" w:cs="方正小标宋简体"/>
          <w:color w:val="000000" w:themeColor="text1"/>
          <w:sz w:val="48"/>
          <w:szCs w:val="48"/>
        </w:rPr>
      </w:pPr>
    </w:p>
    <w:p>
      <w:pPr>
        <w:spacing w:after="100" w:afterAutospacing="1"/>
        <w:ind w:firstLine="640" w:firstLineChars="200"/>
        <w:jc w:val="center"/>
        <w:rPr>
          <w:rFonts w:ascii="黑体" w:hAnsi="黑体" w:eastAsia="黑体" w:cs="方正小标宋简体"/>
          <w:color w:val="000000" w:themeColor="text1"/>
          <w:sz w:val="32"/>
          <w:szCs w:val="32"/>
        </w:rPr>
      </w:pPr>
      <w:r>
        <w:rPr>
          <w:rFonts w:hint="eastAsia" w:ascii="黑体" w:hAnsi="黑体" w:eastAsia="黑体" w:cs="方正小标宋简体"/>
          <w:color w:val="000000" w:themeColor="text1"/>
          <w:sz w:val="32"/>
          <w:szCs w:val="32"/>
        </w:rPr>
        <w:t>2015年12</w:t>
      </w:r>
      <w:r>
        <w:rPr>
          <w:rFonts w:ascii="方正小标宋简体" w:eastAsia="方正小标宋简体" w:cs="方正小标宋简体"/>
          <w:color w:val="000000" w:themeColor="text1"/>
          <w:sz w:val="48"/>
          <w:szCs w:val="48"/>
        </w:rPr>
        <w:pict>
          <v:rect id="_x0000_s1026" o:spid="_x0000_s1026" o:spt="1" style="position:absolute;left:0pt;margin-left:190.35pt;margin-top:89.8pt;height:49.2pt;width:82.05pt;z-index:251659264;mso-width-relative:page;mso-height-relative:page;" stroked="t" coordsize="21600,21600">
            <v:path/>
            <v:fill focussize="0,0"/>
            <v:stroke color="#FFFFFF"/>
            <v:imagedata o:title=""/>
            <o:lock v:ext="edit"/>
          </v:rect>
        </w:pict>
      </w:r>
      <w:r>
        <w:rPr>
          <w:rFonts w:hint="eastAsia" w:ascii="黑体" w:hAnsi="黑体" w:eastAsia="黑体" w:cs="方正小标宋简体"/>
          <w:color w:val="000000" w:themeColor="text1"/>
          <w:sz w:val="32"/>
          <w:szCs w:val="32"/>
        </w:rPr>
        <w:t>月</w:t>
      </w:r>
    </w:p>
    <w:p>
      <w:pPr>
        <w:adjustRightInd/>
        <w:snapToGrid/>
        <w:rPr>
          <w:rFonts w:ascii="黑体" w:hAnsi="黑体" w:eastAsia="黑体" w:cs="方正小标宋简体"/>
          <w:color w:val="000000" w:themeColor="text1"/>
          <w:sz w:val="32"/>
          <w:szCs w:val="32"/>
        </w:rPr>
        <w:sectPr>
          <w:footerReference r:id="rId3" w:type="default"/>
          <w:pgSz w:w="11906" w:h="16838"/>
          <w:pgMar w:top="1701" w:right="1588" w:bottom="1418" w:left="1588" w:header="1134" w:footer="992" w:gutter="0"/>
          <w:pgNumType w:start="1"/>
          <w:cols w:space="720" w:num="1"/>
          <w:docGrid w:type="lines" w:linePitch="360" w:charSpace="0"/>
        </w:sectPr>
      </w:pPr>
    </w:p>
    <w:p>
      <w:pPr>
        <w:adjustRightInd/>
        <w:snapToGrid/>
        <w:rPr>
          <w:rFonts w:ascii="黑体" w:hAnsi="黑体" w:eastAsia="黑体" w:cs="方正小标宋简体"/>
          <w:color w:val="000000" w:themeColor="text1"/>
          <w:sz w:val="36"/>
          <w:szCs w:val="36"/>
        </w:rPr>
      </w:pPr>
    </w:p>
    <w:p>
      <w:pPr>
        <w:adjustRightInd/>
        <w:snapToGrid/>
        <w:jc w:val="center"/>
        <w:rPr>
          <w:rFonts w:ascii="黑体" w:hAnsi="黑体" w:eastAsia="黑体" w:cs="方正小标宋简体"/>
          <w:color w:val="000000" w:themeColor="text1"/>
          <w:sz w:val="36"/>
          <w:szCs w:val="36"/>
        </w:rPr>
      </w:pPr>
      <w:r>
        <w:rPr>
          <w:rFonts w:hint="eastAsia" w:ascii="黑体" w:hAnsi="黑体" w:eastAsia="黑体" w:cs="方正小标宋简体"/>
          <w:color w:val="000000" w:themeColor="text1"/>
          <w:sz w:val="36"/>
          <w:szCs w:val="36"/>
        </w:rPr>
        <w:t>目  录</w:t>
      </w:r>
    </w:p>
    <w:p>
      <w:pPr>
        <w:adjustRightInd/>
        <w:snapToGrid/>
        <w:jc w:val="center"/>
        <w:rPr>
          <w:rFonts w:ascii="黑体" w:hAnsi="黑体" w:eastAsia="黑体" w:cs="方正小标宋简体"/>
          <w:color w:val="000000" w:themeColor="text1"/>
          <w:sz w:val="24"/>
          <w:szCs w:val="24"/>
        </w:rPr>
      </w:pPr>
    </w:p>
    <w:p>
      <w:pPr>
        <w:pStyle w:val="9"/>
        <w:spacing w:line="520" w:lineRule="exact"/>
        <w:rPr>
          <w:rFonts w:ascii="Times New Roman" w:hAnsi="Times New Roman" w:cs="Times New Roman" w:eastAsiaTheme="majorEastAsia"/>
          <w:b w:val="0"/>
          <w:kern w:val="2"/>
        </w:rPr>
      </w:pPr>
      <w:r>
        <w:rPr>
          <w:rFonts w:ascii="Times New Roman" w:hAnsi="Times New Roman" w:cs="Times New Roman" w:eastAsiaTheme="majorEastAsia"/>
          <w:b w:val="0"/>
          <w:color w:val="000000" w:themeColor="text1"/>
        </w:rPr>
        <w:fldChar w:fldCharType="begin"/>
      </w:r>
      <w:r>
        <w:rPr>
          <w:rFonts w:ascii="Times New Roman" w:hAnsi="Times New Roman" w:cs="Times New Roman" w:eastAsiaTheme="majorEastAsia"/>
          <w:b w:val="0"/>
          <w:color w:val="000000" w:themeColor="text1"/>
        </w:rPr>
        <w:instrText xml:space="preserve"> TOC \o "1-2" \h \z \u </w:instrText>
      </w:r>
      <w:r>
        <w:rPr>
          <w:rFonts w:ascii="Times New Roman" w:hAnsi="Times New Roman" w:cs="Times New Roman" w:eastAsiaTheme="majorEastAsia"/>
          <w:b w:val="0"/>
          <w:color w:val="000000" w:themeColor="text1"/>
        </w:rPr>
        <w:fldChar w:fldCharType="separate"/>
      </w:r>
      <w:r>
        <w:fldChar w:fldCharType="begin"/>
      </w:r>
      <w:r>
        <w:instrText xml:space="preserve"> HYPERLINK \l "_Toc438192350" </w:instrText>
      </w:r>
      <w:r>
        <w:fldChar w:fldCharType="separate"/>
      </w:r>
      <w:r>
        <w:rPr>
          <w:rStyle w:val="17"/>
          <w:rFonts w:ascii="黑体" w:hAnsi="黑体" w:eastAsia="黑体" w:cs="Times New Roman"/>
          <w:b w:val="0"/>
        </w:rPr>
        <w:t>一、学校概况</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_Toc438192350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1</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9"/>
        <w:spacing w:line="520" w:lineRule="exact"/>
        <w:rPr>
          <w:rFonts w:ascii="Times New Roman" w:hAnsi="Times New Roman" w:cs="Times New Roman" w:eastAsiaTheme="majorEastAsia"/>
          <w:b w:val="0"/>
          <w:kern w:val="2"/>
        </w:rPr>
      </w:pPr>
      <w:r>
        <w:fldChar w:fldCharType="begin"/>
      </w:r>
      <w:r>
        <w:instrText xml:space="preserve"> HYPERLINK \l "_Toc438192351" </w:instrText>
      </w:r>
      <w:r>
        <w:fldChar w:fldCharType="separate"/>
      </w:r>
      <w:r>
        <w:rPr>
          <w:rStyle w:val="17"/>
          <w:rFonts w:ascii="黑体" w:hAnsi="黑体" w:eastAsia="黑体" w:cs="Times New Roman"/>
          <w:b w:val="0"/>
        </w:rPr>
        <w:t>二、本科教育基本情况</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_Toc438192351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2</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9"/>
        <w:spacing w:line="520" w:lineRule="exact"/>
        <w:rPr>
          <w:rFonts w:ascii="Times New Roman" w:hAnsi="Times New Roman" w:cs="Times New Roman" w:eastAsiaTheme="majorEastAsia"/>
          <w:b w:val="0"/>
          <w:kern w:val="2"/>
        </w:rPr>
      </w:pPr>
      <w:r>
        <w:fldChar w:fldCharType="begin"/>
      </w:r>
      <w:r>
        <w:instrText xml:space="preserve"> HYPERLINK \l "_Toc438192352" </w:instrText>
      </w:r>
      <w:r>
        <w:fldChar w:fldCharType="separate"/>
      </w:r>
      <w:r>
        <w:rPr>
          <w:rStyle w:val="17"/>
          <w:rFonts w:ascii="黑体" w:hAnsi="黑体" w:eastAsia="黑体" w:cs="Times New Roman"/>
          <w:b w:val="0"/>
        </w:rPr>
        <w:t>三、师资与教学条件</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_Toc438192352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3</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"_Toc438192353" </w:instrText>
      </w:r>
      <w:r>
        <w:fldChar w:fldCharType="separate"/>
      </w:r>
      <w:r>
        <w:rPr>
          <w:rStyle w:val="17"/>
          <w:rFonts w:ascii="Times New Roman" w:hAnsi="Times New Roman" w:cs="Times New Roman" w:eastAsiaTheme="majorEastAsia"/>
          <w:sz w:val="24"/>
          <w:szCs w:val="24"/>
        </w:rPr>
        <w:t>（一）师资队伍</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_Toc438192353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3</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"_Toc438192354" </w:instrText>
      </w:r>
      <w:r>
        <w:fldChar w:fldCharType="separate"/>
      </w:r>
      <w:r>
        <w:rPr>
          <w:rStyle w:val="17"/>
          <w:rFonts w:ascii="Times New Roman" w:hAnsi="Times New Roman" w:cs="Times New Roman" w:eastAsiaTheme="majorEastAsia"/>
          <w:sz w:val="24"/>
          <w:szCs w:val="24"/>
        </w:rPr>
        <w:t>（二）教学条件</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_Toc438192354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5</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9"/>
        <w:spacing w:line="520" w:lineRule="exact"/>
        <w:rPr>
          <w:rFonts w:ascii="Times New Roman" w:hAnsi="Times New Roman" w:cs="Times New Roman" w:eastAsiaTheme="majorEastAsia"/>
          <w:b w:val="0"/>
          <w:kern w:val="2"/>
        </w:rPr>
      </w:pPr>
      <w:r>
        <w:fldChar w:fldCharType="begin"/>
      </w:r>
      <w:r>
        <w:instrText xml:space="preserve"> HYPERLINK \l "_Toc438192355" </w:instrText>
      </w:r>
      <w:r>
        <w:fldChar w:fldCharType="separate"/>
      </w:r>
      <w:r>
        <w:rPr>
          <w:rStyle w:val="17"/>
          <w:rFonts w:ascii="黑体" w:hAnsi="黑体" w:eastAsia="黑体" w:cs="Times New Roman"/>
          <w:b w:val="0"/>
        </w:rPr>
        <w:t>四、教学建设与改革</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_Toc438192355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7</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"_Toc438192356" </w:instrText>
      </w:r>
      <w:r>
        <w:fldChar w:fldCharType="separate"/>
      </w:r>
      <w:r>
        <w:rPr>
          <w:rStyle w:val="17"/>
          <w:rFonts w:ascii="Times New Roman" w:hAnsi="Times New Roman" w:cs="Times New Roman" w:eastAsiaTheme="majorEastAsia"/>
          <w:sz w:val="24"/>
          <w:szCs w:val="24"/>
        </w:rPr>
        <w:t>（一）全面完成2014版本科人才培养方案的修订</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_Toc438192356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7</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"_Toc438192357" </w:instrText>
      </w:r>
      <w:r>
        <w:fldChar w:fldCharType="separate"/>
      </w:r>
      <w:r>
        <w:rPr>
          <w:rStyle w:val="17"/>
          <w:rFonts w:ascii="Times New Roman" w:hAnsi="Times New Roman" w:cs="Times New Roman" w:eastAsiaTheme="majorEastAsia"/>
          <w:sz w:val="24"/>
          <w:szCs w:val="24"/>
        </w:rPr>
        <w:t>（二）思想政治教育成效显著</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_Toc438192357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8</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"_Toc438192358" </w:instrText>
      </w:r>
      <w:r>
        <w:fldChar w:fldCharType="separate"/>
      </w:r>
      <w:r>
        <w:rPr>
          <w:rStyle w:val="17"/>
          <w:rFonts w:ascii="Times New Roman" w:hAnsi="Times New Roman" w:cs="Times New Roman" w:eastAsiaTheme="majorEastAsia"/>
          <w:sz w:val="24"/>
          <w:szCs w:val="24"/>
        </w:rPr>
        <w:t>（三）人才培养模式创新取得新突破</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_Toc438192358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9</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"_Toc438192359" </w:instrText>
      </w:r>
      <w:r>
        <w:fldChar w:fldCharType="separate"/>
      </w:r>
      <w:r>
        <w:rPr>
          <w:rStyle w:val="17"/>
          <w:rFonts w:ascii="Times New Roman" w:hAnsi="Times New Roman" w:cs="Times New Roman" w:eastAsiaTheme="majorEastAsia"/>
          <w:sz w:val="24"/>
          <w:szCs w:val="24"/>
        </w:rPr>
        <w:t>（四）教学基本建设取得新进展</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_Toc438192359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9</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"_Toc438192360" </w:instrText>
      </w:r>
      <w:r>
        <w:fldChar w:fldCharType="separate"/>
      </w:r>
      <w:r>
        <w:rPr>
          <w:rStyle w:val="17"/>
          <w:rFonts w:ascii="Times New Roman" w:hAnsi="Times New Roman" w:cs="Times New Roman" w:eastAsiaTheme="majorEastAsia"/>
          <w:sz w:val="24"/>
          <w:szCs w:val="24"/>
        </w:rPr>
        <w:t>（五）持续推进教育教学改革</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_Toc438192360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11</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"_Toc438192361" </w:instrText>
      </w:r>
      <w:r>
        <w:fldChar w:fldCharType="separate"/>
      </w:r>
      <w:r>
        <w:rPr>
          <w:rStyle w:val="17"/>
          <w:rFonts w:ascii="Times New Roman" w:hAnsi="Times New Roman" w:cs="Times New Roman" w:eastAsiaTheme="majorEastAsia"/>
          <w:sz w:val="24"/>
          <w:szCs w:val="24"/>
        </w:rPr>
        <w:t>（六）深入推进本科教育国际化进程</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_Toc438192361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12</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"_Toc438192362" </w:instrText>
      </w:r>
      <w:r>
        <w:fldChar w:fldCharType="separate"/>
      </w:r>
      <w:r>
        <w:rPr>
          <w:rStyle w:val="17"/>
          <w:rFonts w:ascii="Times New Roman" w:hAnsi="Times New Roman" w:cs="Times New Roman" w:eastAsiaTheme="majorEastAsia"/>
          <w:sz w:val="24"/>
          <w:szCs w:val="24"/>
        </w:rPr>
        <w:t>（七）全面加强文化素质教育</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_Toc438192362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13</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9"/>
        <w:spacing w:line="520" w:lineRule="exact"/>
        <w:rPr>
          <w:rFonts w:ascii="Times New Roman" w:hAnsi="Times New Roman" w:cs="Times New Roman" w:eastAsiaTheme="majorEastAsia"/>
          <w:b w:val="0"/>
          <w:kern w:val="2"/>
        </w:rPr>
      </w:pPr>
      <w:r>
        <w:fldChar w:fldCharType="begin"/>
      </w:r>
      <w:r>
        <w:instrText xml:space="preserve"> HYPERLINK \l "_Toc438192363" </w:instrText>
      </w:r>
      <w:r>
        <w:fldChar w:fldCharType="separate"/>
      </w:r>
      <w:r>
        <w:rPr>
          <w:rStyle w:val="17"/>
          <w:rFonts w:ascii="黑体" w:hAnsi="黑体" w:eastAsia="黑体" w:cs="Times New Roman"/>
          <w:b w:val="0"/>
        </w:rPr>
        <w:t>五、创新创业教育</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_Toc438192363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14</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"_Toc438192364" </w:instrText>
      </w:r>
      <w:r>
        <w:fldChar w:fldCharType="separate"/>
      </w:r>
      <w:r>
        <w:rPr>
          <w:rStyle w:val="17"/>
          <w:rFonts w:ascii="Times New Roman" w:hAnsi="Times New Roman" w:cs="Times New Roman" w:eastAsiaTheme="majorEastAsia"/>
          <w:sz w:val="24"/>
          <w:szCs w:val="24"/>
        </w:rPr>
        <w:t>（一）完善人才培养标准</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_Toc438192364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14</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"_Toc438192365" </w:instrText>
      </w:r>
      <w:r>
        <w:fldChar w:fldCharType="separate"/>
      </w:r>
      <w:r>
        <w:rPr>
          <w:rStyle w:val="17"/>
          <w:rFonts w:ascii="Times New Roman" w:hAnsi="Times New Roman" w:cs="Times New Roman" w:eastAsiaTheme="majorEastAsia"/>
          <w:sz w:val="24"/>
          <w:szCs w:val="24"/>
        </w:rPr>
        <w:t>（二）建立培养协同机制</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_Toc438192365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14</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"_Toc438192366" </w:instrText>
      </w:r>
      <w:r>
        <w:fldChar w:fldCharType="separate"/>
      </w:r>
      <w:r>
        <w:rPr>
          <w:rStyle w:val="17"/>
          <w:rFonts w:ascii="Times New Roman" w:hAnsi="Times New Roman" w:cs="Times New Roman" w:eastAsiaTheme="majorEastAsia"/>
          <w:sz w:val="24"/>
          <w:szCs w:val="24"/>
        </w:rPr>
        <w:t>（三） 健全课程体系</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_Toc438192366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14</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"_Toc438192367" </w:instrText>
      </w:r>
      <w:r>
        <w:fldChar w:fldCharType="separate"/>
      </w:r>
      <w:r>
        <w:rPr>
          <w:rStyle w:val="17"/>
          <w:rFonts w:ascii="Times New Roman" w:hAnsi="Times New Roman" w:cs="Times New Roman" w:eastAsiaTheme="majorEastAsia"/>
          <w:sz w:val="24"/>
          <w:szCs w:val="24"/>
        </w:rPr>
        <w:t>（四）推进教学改革</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_Toc438192367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14</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"_Toc438192368" </w:instrText>
      </w:r>
      <w:r>
        <w:fldChar w:fldCharType="separate"/>
      </w:r>
      <w:r>
        <w:rPr>
          <w:rStyle w:val="17"/>
          <w:rFonts w:ascii="Times New Roman" w:hAnsi="Times New Roman" w:cs="Times New Roman" w:eastAsiaTheme="majorEastAsia"/>
          <w:sz w:val="24"/>
          <w:szCs w:val="24"/>
        </w:rPr>
        <w:t>（五） 强化教育实践</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_Toc438192368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15</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"_Toc438192369" </w:instrText>
      </w:r>
      <w:r>
        <w:fldChar w:fldCharType="separate"/>
      </w:r>
      <w:r>
        <w:rPr>
          <w:rStyle w:val="17"/>
          <w:rFonts w:ascii="Times New Roman" w:hAnsi="Times New Roman" w:cs="Times New Roman" w:eastAsiaTheme="majorEastAsia"/>
          <w:sz w:val="24"/>
          <w:szCs w:val="24"/>
        </w:rPr>
        <w:t>（六）加强教师能力建设</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_Toc438192369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15</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"_Toc438192370" </w:instrText>
      </w:r>
      <w:r>
        <w:fldChar w:fldCharType="separate"/>
      </w:r>
      <w:r>
        <w:rPr>
          <w:rStyle w:val="17"/>
          <w:rFonts w:ascii="Times New Roman" w:hAnsi="Times New Roman" w:cs="Times New Roman" w:eastAsiaTheme="majorEastAsia"/>
          <w:sz w:val="24"/>
          <w:szCs w:val="24"/>
        </w:rPr>
        <w:t>（七）改进创业指导服务</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_Toc438192370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16</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"_Toc438192371" </w:instrText>
      </w:r>
      <w:r>
        <w:fldChar w:fldCharType="separate"/>
      </w:r>
      <w:r>
        <w:rPr>
          <w:rStyle w:val="17"/>
          <w:rFonts w:ascii="Times New Roman" w:hAnsi="Times New Roman" w:cs="Times New Roman" w:eastAsiaTheme="majorEastAsia"/>
          <w:sz w:val="24"/>
          <w:szCs w:val="24"/>
        </w:rPr>
        <w:t>（八）完善经费和政策支持</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_Toc438192371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16</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9"/>
        <w:spacing w:line="520" w:lineRule="exact"/>
        <w:rPr>
          <w:rFonts w:ascii="Times New Roman" w:hAnsi="Times New Roman" w:cs="Times New Roman" w:eastAsiaTheme="majorEastAsia"/>
          <w:b w:val="0"/>
          <w:kern w:val="2"/>
        </w:rPr>
      </w:pPr>
      <w:r>
        <w:fldChar w:fldCharType="begin"/>
      </w:r>
      <w:r>
        <w:instrText xml:space="preserve"> HYPERLINK \l "_Toc438192372" </w:instrText>
      </w:r>
      <w:r>
        <w:fldChar w:fldCharType="separate"/>
      </w:r>
      <w:r>
        <w:rPr>
          <w:rStyle w:val="17"/>
          <w:rFonts w:ascii="黑体" w:hAnsi="黑体" w:eastAsia="黑体" w:cs="Times New Roman"/>
          <w:b w:val="0"/>
        </w:rPr>
        <w:t>六、教学质量保障体系</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_Toc438192372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16</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"_Toc438192373" </w:instrText>
      </w:r>
      <w:r>
        <w:fldChar w:fldCharType="separate"/>
      </w:r>
      <w:r>
        <w:rPr>
          <w:rStyle w:val="17"/>
          <w:rFonts w:ascii="Times New Roman" w:hAnsi="Times New Roman" w:cs="Times New Roman" w:eastAsiaTheme="majorEastAsia"/>
          <w:sz w:val="24"/>
          <w:szCs w:val="24"/>
        </w:rPr>
        <w:t>（一）确立组织保障体系</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_Toc438192373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16</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"_Toc438192374" </w:instrText>
      </w:r>
      <w:r>
        <w:fldChar w:fldCharType="separate"/>
      </w:r>
      <w:r>
        <w:rPr>
          <w:rStyle w:val="17"/>
          <w:rFonts w:ascii="Times New Roman" w:hAnsi="Times New Roman" w:cs="Times New Roman" w:eastAsiaTheme="majorEastAsia"/>
          <w:sz w:val="24"/>
          <w:szCs w:val="24"/>
        </w:rPr>
        <w:t>（二）完善制度体系建设</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_Toc438192374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16</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"_Toc438192375" </w:instrText>
      </w:r>
      <w:r>
        <w:fldChar w:fldCharType="separate"/>
      </w:r>
      <w:r>
        <w:rPr>
          <w:rStyle w:val="17"/>
          <w:rFonts w:ascii="Times New Roman" w:hAnsi="Times New Roman" w:cs="Times New Roman" w:eastAsiaTheme="majorEastAsia"/>
          <w:sz w:val="24"/>
          <w:szCs w:val="24"/>
        </w:rPr>
        <w:t>（三）健全监管体系建设</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_Toc438192375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17</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9"/>
        <w:spacing w:line="520" w:lineRule="exact"/>
        <w:rPr>
          <w:rFonts w:ascii="Times New Roman" w:hAnsi="Times New Roman" w:cs="Times New Roman" w:eastAsiaTheme="majorEastAsia"/>
          <w:b w:val="0"/>
          <w:kern w:val="2"/>
        </w:rPr>
      </w:pPr>
      <w:r>
        <w:fldChar w:fldCharType="begin"/>
      </w:r>
      <w:r>
        <w:instrText xml:space="preserve"> HYPERLINK \l "_Toc438192376" </w:instrText>
      </w:r>
      <w:r>
        <w:fldChar w:fldCharType="separate"/>
      </w:r>
      <w:r>
        <w:rPr>
          <w:rStyle w:val="17"/>
          <w:rFonts w:ascii="黑体" w:hAnsi="黑体" w:eastAsia="黑体" w:cs="Times New Roman"/>
          <w:b w:val="0"/>
        </w:rPr>
        <w:t>七、学生学习效果</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_Toc438192376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18</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9"/>
        <w:spacing w:line="520" w:lineRule="exact"/>
        <w:rPr>
          <w:rFonts w:ascii="Times New Roman" w:hAnsi="Times New Roman" w:cs="Times New Roman" w:eastAsiaTheme="majorEastAsia"/>
          <w:b w:val="0"/>
          <w:kern w:val="2"/>
        </w:rPr>
      </w:pPr>
      <w:r>
        <w:fldChar w:fldCharType="begin"/>
      </w:r>
      <w:r>
        <w:instrText xml:space="preserve"> HYPERLINK \l "_Toc438192377" </w:instrText>
      </w:r>
      <w:r>
        <w:fldChar w:fldCharType="separate"/>
      </w:r>
      <w:r>
        <w:rPr>
          <w:rStyle w:val="17"/>
          <w:rFonts w:ascii="黑体" w:hAnsi="黑体" w:eastAsia="黑体" w:cs="Times New Roman"/>
          <w:b w:val="0"/>
        </w:rPr>
        <w:t>八、本科教育教学工作特色</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_Toc438192377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21</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9"/>
        <w:spacing w:line="520" w:lineRule="exact"/>
        <w:rPr>
          <w:rFonts w:ascii="Times New Roman" w:hAnsi="Times New Roman" w:cs="Times New Roman" w:eastAsiaTheme="majorEastAsia"/>
          <w:b w:val="0"/>
          <w:kern w:val="2"/>
        </w:rPr>
      </w:pPr>
      <w:r>
        <w:fldChar w:fldCharType="begin"/>
      </w:r>
      <w:r>
        <w:instrText xml:space="preserve"> HYPERLINK \l "_Toc438192378" </w:instrText>
      </w:r>
      <w:r>
        <w:fldChar w:fldCharType="separate"/>
      </w:r>
      <w:r>
        <w:rPr>
          <w:rStyle w:val="17"/>
          <w:rFonts w:ascii="黑体" w:hAnsi="黑体" w:eastAsia="黑体" w:cs="Times New Roman"/>
          <w:b w:val="0"/>
        </w:rPr>
        <w:t>九、存在的问题及解决措施</w:t>
      </w:r>
      <w:r>
        <w:rPr>
          <w:rFonts w:ascii="Times New Roman" w:hAnsi="Times New Roman" w:cs="Times New Roman" w:eastAsiaTheme="majorEastAsia"/>
          <w:b w:val="0"/>
        </w:rPr>
        <w:tab/>
      </w:r>
      <w:r>
        <w:rPr>
          <w:rFonts w:ascii="Times New Roman" w:hAnsi="Times New Roman" w:cs="Times New Roman" w:eastAsiaTheme="majorEastAsia"/>
          <w:b w:val="0"/>
        </w:rPr>
        <w:fldChar w:fldCharType="begin"/>
      </w:r>
      <w:r>
        <w:rPr>
          <w:rFonts w:ascii="Times New Roman" w:hAnsi="Times New Roman" w:cs="Times New Roman" w:eastAsiaTheme="majorEastAsia"/>
          <w:b w:val="0"/>
        </w:rPr>
        <w:instrText xml:space="preserve"> PAGEREF _Toc438192378 \h </w:instrText>
      </w:r>
      <w:r>
        <w:rPr>
          <w:rFonts w:ascii="Times New Roman" w:hAnsi="Times New Roman" w:cs="Times New Roman" w:eastAsiaTheme="majorEastAsia"/>
          <w:b w:val="0"/>
        </w:rPr>
        <w:fldChar w:fldCharType="separate"/>
      </w:r>
      <w:r>
        <w:rPr>
          <w:rFonts w:ascii="Times New Roman" w:hAnsi="Times New Roman" w:cs="Times New Roman" w:eastAsiaTheme="majorEastAsia"/>
          <w:b w:val="0"/>
        </w:rPr>
        <w:t>22</w:t>
      </w:r>
      <w:r>
        <w:rPr>
          <w:rFonts w:ascii="Times New Roman" w:hAnsi="Times New Roman" w:cs="Times New Roman" w:eastAsiaTheme="majorEastAsia"/>
          <w:b w:val="0"/>
        </w:rPr>
        <w:fldChar w:fldCharType="end"/>
      </w:r>
      <w:r>
        <w:rPr>
          <w:rFonts w:ascii="Times New Roman" w:hAnsi="Times New Roman" w:cs="Times New Roman" w:eastAsiaTheme="majorEastAsia"/>
          <w:b w:val="0"/>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"_Toc438192379" </w:instrText>
      </w:r>
      <w:r>
        <w:fldChar w:fldCharType="separate"/>
      </w:r>
      <w:r>
        <w:rPr>
          <w:rStyle w:val="17"/>
          <w:rFonts w:ascii="Times New Roman" w:hAnsi="Times New Roman" w:cs="Times New Roman" w:eastAsiaTheme="majorEastAsia"/>
          <w:sz w:val="24"/>
          <w:szCs w:val="24"/>
        </w:rPr>
        <w:t>（一）存在的主要问题</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_Toc438192379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22</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pStyle w:val="10"/>
        <w:spacing w:line="520" w:lineRule="exact"/>
        <w:rPr>
          <w:rFonts w:ascii="Times New Roman" w:hAnsi="Times New Roman" w:cs="Times New Roman" w:eastAsiaTheme="majorEastAsia"/>
          <w:kern w:val="2"/>
          <w:sz w:val="24"/>
          <w:szCs w:val="24"/>
        </w:rPr>
      </w:pPr>
      <w:r>
        <w:fldChar w:fldCharType="begin"/>
      </w:r>
      <w:r>
        <w:instrText xml:space="preserve"> HYPERLINK \l "_Toc438192380" </w:instrText>
      </w:r>
      <w:r>
        <w:fldChar w:fldCharType="separate"/>
      </w:r>
      <w:r>
        <w:rPr>
          <w:rStyle w:val="17"/>
          <w:rFonts w:ascii="Times New Roman" w:hAnsi="Times New Roman" w:cs="Times New Roman" w:eastAsiaTheme="majorEastAsia"/>
          <w:sz w:val="24"/>
          <w:szCs w:val="24"/>
        </w:rPr>
        <w:t>（二）解决措施</w:t>
      </w:r>
      <w:r>
        <w:rPr>
          <w:rFonts w:ascii="Times New Roman" w:hAnsi="Times New Roman" w:cs="Times New Roman" w:eastAsiaTheme="majorEastAsia"/>
          <w:sz w:val="24"/>
          <w:szCs w:val="24"/>
        </w:rPr>
        <w:tab/>
      </w:r>
      <w:r>
        <w:rPr>
          <w:rFonts w:ascii="Times New Roman" w:hAnsi="Times New Roman" w:cs="Times New Roman" w:eastAsiaTheme="majorEastAsia"/>
          <w:sz w:val="24"/>
          <w:szCs w:val="24"/>
        </w:rPr>
        <w:fldChar w:fldCharType="begin"/>
      </w:r>
      <w:r>
        <w:rPr>
          <w:rFonts w:ascii="Times New Roman" w:hAnsi="Times New Roman" w:cs="Times New Roman" w:eastAsiaTheme="majorEastAsia"/>
          <w:sz w:val="24"/>
          <w:szCs w:val="24"/>
        </w:rPr>
        <w:instrText xml:space="preserve"> PAGEREF _Toc438192380 \h </w:instrText>
      </w:r>
      <w:r>
        <w:rPr>
          <w:rFonts w:ascii="Times New Roman" w:hAnsi="Times New Roman" w:cs="Times New Roman" w:eastAsiaTheme="majorEastAsia"/>
          <w:sz w:val="24"/>
          <w:szCs w:val="24"/>
        </w:rPr>
        <w:fldChar w:fldCharType="separate"/>
      </w:r>
      <w:r>
        <w:rPr>
          <w:rFonts w:ascii="Times New Roman" w:hAnsi="Times New Roman" w:cs="Times New Roman" w:eastAsiaTheme="majorEastAsia"/>
          <w:sz w:val="24"/>
          <w:szCs w:val="24"/>
        </w:rPr>
        <w:t>23</w:t>
      </w:r>
      <w:r>
        <w:rPr>
          <w:rFonts w:ascii="Times New Roman" w:hAnsi="Times New Roman" w:cs="Times New Roman" w:eastAsiaTheme="majorEastAsia"/>
          <w:sz w:val="24"/>
          <w:szCs w:val="24"/>
        </w:rPr>
        <w:fldChar w:fldCharType="end"/>
      </w:r>
      <w:r>
        <w:rPr>
          <w:rFonts w:ascii="Times New Roman" w:hAnsi="Times New Roman" w:cs="Times New Roman" w:eastAsiaTheme="majorEastAsia"/>
          <w:sz w:val="24"/>
          <w:szCs w:val="24"/>
        </w:rPr>
        <w:fldChar w:fldCharType="end"/>
      </w:r>
    </w:p>
    <w:p>
      <w:pPr>
        <w:adjustRightInd/>
        <w:snapToGrid/>
        <w:spacing w:line="520" w:lineRule="exact"/>
        <w:rPr>
          <w:rFonts w:ascii="黑体" w:hAnsi="黑体" w:eastAsia="黑体" w:cs="方正小标宋简体"/>
          <w:color w:val="000000" w:themeColor="text1"/>
          <w:sz w:val="36"/>
          <w:szCs w:val="36"/>
        </w:rPr>
      </w:pPr>
      <w:r>
        <w:rPr>
          <w:rFonts w:ascii="Times New Roman" w:hAnsi="Times New Roman" w:eastAsiaTheme="majorEastAsia"/>
          <w:color w:val="000000" w:themeColor="text1"/>
          <w:sz w:val="24"/>
          <w:szCs w:val="24"/>
        </w:rPr>
        <w:fldChar w:fldCharType="end"/>
      </w:r>
    </w:p>
    <w:p>
      <w:pPr>
        <w:adjustRightInd/>
        <w:snapToGrid/>
        <w:rPr>
          <w:rFonts w:ascii="黑体" w:hAnsi="黑体" w:eastAsia="黑体" w:cs="方正小标宋简体"/>
          <w:color w:val="000000" w:themeColor="text1"/>
          <w:sz w:val="36"/>
          <w:szCs w:val="36"/>
        </w:rPr>
      </w:pPr>
    </w:p>
    <w:p>
      <w:pPr>
        <w:adjustRightInd/>
        <w:snapToGrid/>
        <w:ind w:firstLine="720" w:firstLineChars="200"/>
        <w:jc w:val="center"/>
        <w:rPr>
          <w:rFonts w:ascii="黑体" w:hAnsi="黑体" w:eastAsia="黑体" w:cs="方正小标宋简体"/>
          <w:color w:val="000000" w:themeColor="text1"/>
          <w:sz w:val="36"/>
          <w:szCs w:val="36"/>
        </w:rPr>
        <w:sectPr>
          <w:footerReference r:id="rId4" w:type="default"/>
          <w:pgSz w:w="11906" w:h="16838"/>
          <w:pgMar w:top="1701" w:right="1588" w:bottom="1418" w:left="1588" w:header="1134" w:footer="992" w:gutter="0"/>
          <w:pgNumType w:start="1"/>
          <w:cols w:space="720" w:num="1"/>
          <w:docGrid w:type="lines" w:linePitch="360" w:charSpace="0"/>
        </w:sectPr>
      </w:pPr>
    </w:p>
    <w:p>
      <w:pPr>
        <w:adjustRightInd/>
        <w:snapToGrid/>
        <w:jc w:val="center"/>
        <w:rPr>
          <w:rFonts w:ascii="黑体" w:hAnsi="黑体" w:eastAsia="黑体" w:cs="方正小标宋简体"/>
          <w:color w:val="000000" w:themeColor="text1"/>
          <w:sz w:val="36"/>
          <w:szCs w:val="36"/>
        </w:rPr>
      </w:pPr>
    </w:p>
    <w:p>
      <w:pPr>
        <w:adjustRightInd/>
        <w:snapToGrid/>
        <w:jc w:val="center"/>
        <w:rPr>
          <w:rFonts w:ascii="黑体" w:hAnsi="黑体" w:eastAsia="黑体" w:cs="方正小标宋简体"/>
          <w:color w:val="000000" w:themeColor="text1"/>
          <w:sz w:val="36"/>
          <w:szCs w:val="36"/>
        </w:rPr>
      </w:pPr>
      <w:r>
        <w:rPr>
          <w:rFonts w:hint="eastAsia" w:ascii="黑体" w:hAnsi="黑体" w:eastAsia="黑体" w:cs="方正小标宋简体"/>
          <w:color w:val="000000" w:themeColor="text1"/>
          <w:sz w:val="36"/>
          <w:szCs w:val="36"/>
        </w:rPr>
        <w:t>西北农林科技大学</w:t>
      </w:r>
    </w:p>
    <w:p>
      <w:pPr>
        <w:spacing w:after="100" w:afterAutospacing="1"/>
        <w:jc w:val="center"/>
        <w:rPr>
          <w:rFonts w:ascii="黑体" w:hAnsi="黑体" w:eastAsia="黑体" w:cs="方正小标宋简体"/>
          <w:color w:val="000000" w:themeColor="text1"/>
          <w:sz w:val="36"/>
          <w:szCs w:val="36"/>
        </w:rPr>
      </w:pPr>
      <w:r>
        <w:rPr>
          <w:rFonts w:hint="eastAsia" w:ascii="黑体" w:hAnsi="黑体" w:eastAsia="黑体" w:cs="方正小标宋简体"/>
          <w:color w:val="000000" w:themeColor="text1"/>
          <w:sz w:val="36"/>
          <w:szCs w:val="36"/>
        </w:rPr>
        <w:t>2014年本科教学质量报告</w:t>
      </w:r>
    </w:p>
    <w:p>
      <w:pPr>
        <w:spacing w:after="100" w:afterAutospacing="1"/>
        <w:ind w:firstLine="720" w:firstLineChars="200"/>
        <w:jc w:val="center"/>
        <w:rPr>
          <w:rFonts w:ascii="黑体" w:hAnsi="黑体" w:eastAsia="黑体" w:cs="方正小标宋简体"/>
          <w:color w:val="000000" w:themeColor="text1"/>
          <w:sz w:val="36"/>
          <w:szCs w:val="36"/>
        </w:rPr>
      </w:pP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2014年，学校深入贯彻落实党的十八大及十八届三中、四中全会精神和习近平总书记系列重要讲话精神，以《国家中长期教育改革发展规划纲要（2010—2020年）》《教育部关于全面提高高等教育质量的若干意见》《高等教育综合改革方案》精神为指导，按照学校《关于进一步深化教育教学改革提高本科人才培养质量的意见》要求，坚持立德树人，以培养社会主义合格建设者和可靠接班人为己任，深化教育教学改革，创新人才培养机制，加强质量监控体系建设，不断提高育人质量，为建设产学研紧密结合特色鲜明的世界一流农业大学奠定了坚实的基础。</w:t>
      </w:r>
    </w:p>
    <w:p>
      <w:pPr>
        <w:pStyle w:val="2"/>
        <w:spacing w:before="180" w:after="180"/>
      </w:pPr>
      <w:bookmarkStart w:id="0" w:name="_Toc438192350"/>
      <w:r>
        <w:rPr>
          <w:rFonts w:hint="eastAsia"/>
        </w:rPr>
        <w:t>一、学校概况</w:t>
      </w:r>
      <w:bookmarkEnd w:id="0"/>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w:t>
      </w:r>
      <w:r>
        <w:rPr>
          <w:rFonts w:cs="仿宋_GB2312" w:asciiTheme="minorEastAsia" w:hAnsiTheme="minorEastAsia" w:eastAsiaTheme="minorEastAsia"/>
          <w:color w:val="000000" w:themeColor="text1"/>
        </w:rPr>
        <w:t>地处中华农耕文明发祥地、国家级农业高新技术产业示范区</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陕西杨凌，现为教育部直属重点大学，国家</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985工程</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和</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211工程</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重点建设高校。</w:t>
      </w:r>
      <w:r>
        <w:rPr>
          <w:rFonts w:hint="eastAsia" w:cs="仿宋_GB2312" w:asciiTheme="minorEastAsia" w:hAnsiTheme="minorEastAsia" w:eastAsiaTheme="minorEastAsia"/>
          <w:color w:val="000000" w:themeColor="text1"/>
        </w:rPr>
        <w:t>学校自1934年创建以来，</w:t>
      </w:r>
      <w:r>
        <w:rPr>
          <w:rFonts w:cs="仿宋_GB2312" w:asciiTheme="minorEastAsia" w:hAnsiTheme="minorEastAsia" w:eastAsiaTheme="minorEastAsia"/>
          <w:color w:val="000000" w:themeColor="text1"/>
        </w:rPr>
        <w:t>秉承</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经国本，解民生，尚科学</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的办学理念和</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诚朴勇毅</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的校训</w:t>
      </w:r>
      <w:r>
        <w:rPr>
          <w:rFonts w:hint="eastAsia" w:cs="仿宋_GB2312" w:asciiTheme="minorEastAsia" w:hAnsiTheme="minorEastAsia" w:eastAsiaTheme="minorEastAsia"/>
          <w:color w:val="000000" w:themeColor="text1"/>
        </w:rPr>
        <w:t>精神</w:t>
      </w:r>
      <w:r>
        <w:rPr>
          <w:rFonts w:cs="仿宋_GB2312" w:asciiTheme="minorEastAsia" w:hAnsiTheme="minorEastAsia" w:eastAsiaTheme="minorEastAsia"/>
          <w:color w:val="000000" w:themeColor="text1"/>
        </w:rPr>
        <w:t>，坚持走产学研紧密结合的办学道路，</w:t>
      </w:r>
      <w:r>
        <w:rPr>
          <w:rFonts w:hint="eastAsia" w:cs="仿宋_GB2312" w:asciiTheme="minorEastAsia" w:hAnsiTheme="minorEastAsia" w:eastAsiaTheme="minorEastAsia"/>
          <w:color w:val="000000" w:themeColor="text1"/>
        </w:rPr>
        <w:t>先后为社会培养16万名优秀毕业生，</w:t>
      </w:r>
      <w:r>
        <w:rPr>
          <w:rFonts w:cs="仿宋_GB2312" w:asciiTheme="minorEastAsia" w:hAnsiTheme="minorEastAsia" w:eastAsiaTheme="minorEastAsia"/>
          <w:color w:val="000000" w:themeColor="text1"/>
        </w:rPr>
        <w:t>为推动我国农业现代化建设和农业</w:t>
      </w:r>
      <w:r>
        <w:rPr>
          <w:rFonts w:hint="eastAsia" w:cs="仿宋_GB2312" w:asciiTheme="minorEastAsia" w:hAnsiTheme="minorEastAsia" w:eastAsiaTheme="minorEastAsia"/>
          <w:color w:val="000000" w:themeColor="text1"/>
        </w:rPr>
        <w:t>科学教育</w:t>
      </w:r>
      <w:r>
        <w:rPr>
          <w:rFonts w:cs="仿宋_GB2312" w:asciiTheme="minorEastAsia" w:hAnsiTheme="minorEastAsia" w:eastAsiaTheme="minorEastAsia"/>
          <w:color w:val="000000" w:themeColor="text1"/>
        </w:rPr>
        <w:t xml:space="preserve">事业发展做出了突出贡献。 </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学校是</w:t>
      </w:r>
      <w:r>
        <w:rPr>
          <w:rFonts w:hint="eastAsia" w:cs="仿宋_GB2312" w:asciiTheme="minorEastAsia" w:hAnsiTheme="minorEastAsia" w:eastAsiaTheme="minorEastAsia"/>
          <w:color w:val="000000" w:themeColor="text1"/>
        </w:rPr>
        <w:t>我</w:t>
      </w:r>
      <w:r>
        <w:rPr>
          <w:rFonts w:cs="仿宋_GB2312" w:asciiTheme="minorEastAsia" w:hAnsiTheme="minorEastAsia" w:eastAsiaTheme="minorEastAsia"/>
          <w:color w:val="000000" w:themeColor="text1"/>
        </w:rPr>
        <w:t>国农林水学科最为齐备的高等农业院校，现设有24个学院（系、所、部）和研究生院，学科涵盖农、理、工、经、管、文、法、哲、史、医、教育、艺术等12个学科门类。有植物病理学、土壤学、农业水土工程、临床兽医学、果树学、动物遗传育种与繁殖、农业经济管理等7个国家重点学科和作物遗传育种、农业昆虫与害虫防治等2个国家重点（培育）学科，以及25个部省级重点学科；有2个国家重点实验室，1个国家工程实验室，3个国家工程技术研究中心，3个国家野外科学观测研究站，55个省部重点实验室及工程技术研究中心。有13个博士后流动站，16个博士学位授权一级学科，28个硕士学位授权一级学科。</w:t>
      </w:r>
    </w:p>
    <w:p>
      <w:pPr>
        <w:adjustRightInd/>
        <w:snapToGrid/>
        <w:spacing w:line="400" w:lineRule="exact"/>
        <w:ind w:firstLine="480" w:firstLineChars="200"/>
        <w:jc w:val="both"/>
        <w:rPr>
          <w:rFonts w:cs="仿宋_GB2312" w:asciiTheme="minorEastAsia" w:hAnsiTheme="minorEastAsia" w:eastAsiaTheme="minorEastAsia"/>
          <w:color w:val="000000" w:themeColor="text1"/>
          <w:sz w:val="24"/>
          <w:szCs w:val="24"/>
        </w:rPr>
      </w:pPr>
      <w:r>
        <w:rPr>
          <w:rFonts w:cs="仿宋_GB2312" w:asciiTheme="minorEastAsia" w:hAnsiTheme="minorEastAsia" w:eastAsiaTheme="minorEastAsia"/>
          <w:color w:val="000000" w:themeColor="text1"/>
          <w:sz w:val="24"/>
          <w:szCs w:val="24"/>
        </w:rPr>
        <w:t>学校坚持</w:t>
      </w:r>
      <w:r>
        <w:rPr>
          <w:rFonts w:hint="eastAsia" w:cs="仿宋_GB2312" w:asciiTheme="minorEastAsia" w:hAnsiTheme="minorEastAsia" w:eastAsiaTheme="minorEastAsia"/>
          <w:color w:val="000000" w:themeColor="text1"/>
          <w:sz w:val="24"/>
          <w:szCs w:val="24"/>
        </w:rPr>
        <w:t>面向国家</w:t>
      </w:r>
      <w:r>
        <w:rPr>
          <w:rFonts w:cs="仿宋_GB2312" w:asciiTheme="minorEastAsia" w:hAnsiTheme="minorEastAsia" w:eastAsiaTheme="minorEastAsia"/>
          <w:color w:val="000000" w:themeColor="text1"/>
          <w:sz w:val="24"/>
          <w:szCs w:val="24"/>
        </w:rPr>
        <w:t>重大战略需求，开展面向生产实际的应用基础</w:t>
      </w:r>
      <w:r>
        <w:rPr>
          <w:rFonts w:hint="eastAsia" w:cs="仿宋_GB2312" w:asciiTheme="minorEastAsia" w:hAnsiTheme="minorEastAsia" w:eastAsiaTheme="minorEastAsia"/>
          <w:color w:val="000000" w:themeColor="text1"/>
          <w:sz w:val="24"/>
          <w:szCs w:val="24"/>
        </w:rPr>
        <w:t>研究</w:t>
      </w:r>
      <w:r>
        <w:rPr>
          <w:rFonts w:cs="仿宋_GB2312" w:asciiTheme="minorEastAsia" w:hAnsiTheme="minorEastAsia" w:eastAsiaTheme="minorEastAsia"/>
          <w:color w:val="000000" w:themeColor="text1"/>
          <w:sz w:val="24"/>
          <w:szCs w:val="24"/>
        </w:rPr>
        <w:t>和应用研究，在动植物育种、植物保护、农业生物技术、旱区农业与节水技术、黄土高原水土流失综合治理等研究领域形成鲜明特色和</w:t>
      </w:r>
      <w:r>
        <w:rPr>
          <w:rFonts w:hint="eastAsia" w:cs="仿宋_GB2312" w:asciiTheme="minorEastAsia" w:hAnsiTheme="minorEastAsia" w:eastAsiaTheme="minorEastAsia"/>
          <w:color w:val="000000" w:themeColor="text1"/>
          <w:sz w:val="24"/>
          <w:szCs w:val="24"/>
        </w:rPr>
        <w:t>独特</w:t>
      </w:r>
      <w:r>
        <w:rPr>
          <w:rFonts w:cs="仿宋_GB2312" w:asciiTheme="minorEastAsia" w:hAnsiTheme="minorEastAsia" w:eastAsiaTheme="minorEastAsia"/>
          <w:color w:val="000000" w:themeColor="text1"/>
          <w:sz w:val="24"/>
          <w:szCs w:val="24"/>
        </w:rPr>
        <w:t>优势。</w:t>
      </w:r>
      <w:r>
        <w:rPr>
          <w:rFonts w:hint="eastAsia" w:cs="仿宋_GB2312" w:asciiTheme="minorEastAsia" w:hAnsiTheme="minorEastAsia" w:eastAsiaTheme="minorEastAsia"/>
          <w:color w:val="000000" w:themeColor="text1"/>
          <w:sz w:val="24"/>
          <w:szCs w:val="24"/>
        </w:rPr>
        <w:t>80多年来</w:t>
      </w:r>
      <w:r>
        <w:rPr>
          <w:rFonts w:cs="仿宋_GB2312" w:asciiTheme="minorEastAsia" w:hAnsiTheme="minorEastAsia" w:eastAsiaTheme="minorEastAsia"/>
          <w:color w:val="000000" w:themeColor="text1"/>
          <w:sz w:val="24"/>
          <w:szCs w:val="24"/>
        </w:rPr>
        <w:t>，累计获得各类科技成果5</w:t>
      </w:r>
      <w:r>
        <w:rPr>
          <w:rFonts w:hint="eastAsia" w:cs="仿宋_GB2312" w:asciiTheme="minorEastAsia" w:hAnsiTheme="minorEastAsia" w:eastAsiaTheme="minorEastAsia"/>
          <w:color w:val="000000" w:themeColor="text1"/>
          <w:sz w:val="24"/>
          <w:szCs w:val="24"/>
        </w:rPr>
        <w:t>,</w:t>
      </w:r>
      <w:r>
        <w:rPr>
          <w:rFonts w:cs="仿宋_GB2312" w:asciiTheme="minorEastAsia" w:hAnsiTheme="minorEastAsia" w:eastAsiaTheme="minorEastAsia"/>
          <w:color w:val="000000" w:themeColor="text1"/>
          <w:sz w:val="24"/>
          <w:szCs w:val="24"/>
        </w:rPr>
        <w:t>000余项，获奖成果1</w:t>
      </w:r>
      <w:r>
        <w:rPr>
          <w:rFonts w:hint="eastAsia" w:cs="仿宋_GB2312" w:asciiTheme="minorEastAsia" w:hAnsiTheme="minorEastAsia" w:eastAsiaTheme="minorEastAsia"/>
          <w:color w:val="000000" w:themeColor="text1"/>
          <w:sz w:val="24"/>
          <w:szCs w:val="24"/>
        </w:rPr>
        <w:t>,</w:t>
      </w:r>
      <w:r>
        <w:rPr>
          <w:rFonts w:cs="仿宋_GB2312" w:asciiTheme="minorEastAsia" w:hAnsiTheme="minorEastAsia" w:eastAsiaTheme="minorEastAsia"/>
          <w:color w:val="000000" w:themeColor="text1"/>
          <w:sz w:val="24"/>
          <w:szCs w:val="24"/>
        </w:rPr>
        <w:t>800余项。</w:t>
      </w:r>
      <w:r>
        <w:rPr>
          <w:rFonts w:hint="eastAsia" w:cs="仿宋_GB2312" w:asciiTheme="minorEastAsia" w:hAnsiTheme="minorEastAsia" w:eastAsiaTheme="minorEastAsia"/>
          <w:color w:val="000000" w:themeColor="text1"/>
          <w:sz w:val="24"/>
          <w:szCs w:val="24"/>
        </w:rPr>
        <w:t>尤其是1999年学校合并组建</w:t>
      </w:r>
      <w:r>
        <w:rPr>
          <w:rFonts w:cs="仿宋_GB2312" w:asciiTheme="minorEastAsia" w:hAnsiTheme="minorEastAsia" w:eastAsiaTheme="minorEastAsia"/>
          <w:color w:val="000000" w:themeColor="text1"/>
          <w:sz w:val="24"/>
          <w:szCs w:val="24"/>
        </w:rPr>
        <w:t>以来，获得国家级科技奖励33项，其中主持完成12项；主持完成省部级科技成果一等奖63项；获陕西省科技进步最高成就奖1项</w:t>
      </w:r>
      <w:r>
        <w:rPr>
          <w:rFonts w:hint="eastAsia" w:cs="仿宋_GB2312" w:asciiTheme="minorEastAsia" w:hAnsiTheme="minorEastAsia" w:eastAsiaTheme="minorEastAsia"/>
          <w:color w:val="000000" w:themeColor="text1"/>
          <w:sz w:val="24"/>
          <w:szCs w:val="24"/>
        </w:rPr>
        <w:t>；</w:t>
      </w:r>
      <w:r>
        <w:rPr>
          <w:rFonts w:cs="仿宋_GB2312" w:asciiTheme="minorEastAsia" w:hAnsiTheme="minorEastAsia" w:eastAsiaTheme="minorEastAsia"/>
          <w:color w:val="000000" w:themeColor="text1"/>
          <w:sz w:val="24"/>
          <w:szCs w:val="24"/>
        </w:rPr>
        <w:t>获国家授权发明专利879件；审定动植物新品种409个。</w:t>
      </w:r>
    </w:p>
    <w:p>
      <w:pPr>
        <w:adjustRightInd/>
        <w:snapToGrid/>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学校坚持面向区域主导产业发展需求，积极开展科技成果示范推广。在国内率先探索建立以大学为依托农业科技推广新模式，在全国率先成立新农村发展研究院。与50多个地方政府或龙头企业建立科技合作关系，在区域主导产业中心地带建立农业科技试验示范站23个、示范基地27个、专家大院21个，开辟了大学农业科技成果进村入户的快捷通道，累计创造直接经济效益300多亿元。</w:t>
      </w:r>
    </w:p>
    <w:p>
      <w:pPr>
        <w:adjustRightInd/>
        <w:snapToGrid/>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学校坚持开放式办学，积极拓展国际科技教育合作与交流。先后与世界上</w:t>
      </w:r>
      <w:r>
        <w:rPr>
          <w:rFonts w:cs="仿宋_GB2312" w:asciiTheme="minorEastAsia" w:hAnsiTheme="minorEastAsia" w:eastAsiaTheme="minorEastAsia"/>
          <w:color w:val="000000" w:themeColor="text1"/>
          <w:sz w:val="24"/>
          <w:szCs w:val="24"/>
        </w:rPr>
        <w:t>135</w:t>
      </w:r>
      <w:r>
        <w:rPr>
          <w:rFonts w:hint="eastAsia" w:cs="仿宋_GB2312" w:asciiTheme="minorEastAsia" w:hAnsiTheme="minorEastAsia" w:eastAsiaTheme="minorEastAsia"/>
          <w:color w:val="000000" w:themeColor="text1"/>
          <w:sz w:val="24"/>
          <w:szCs w:val="24"/>
        </w:rPr>
        <w:t>所著名大学或科研机构建立校际合作关系，其中</w:t>
      </w:r>
      <w:r>
        <w:rPr>
          <w:rFonts w:cs="仿宋_GB2312" w:asciiTheme="minorEastAsia" w:hAnsiTheme="minorEastAsia" w:eastAsiaTheme="minorEastAsia"/>
          <w:color w:val="000000" w:themeColor="text1"/>
          <w:sz w:val="24"/>
          <w:szCs w:val="24"/>
        </w:rPr>
        <w:t>11</w:t>
      </w:r>
      <w:r>
        <w:rPr>
          <w:rFonts w:hint="eastAsia" w:cs="仿宋_GB2312" w:asciiTheme="minorEastAsia" w:hAnsiTheme="minorEastAsia" w:eastAsiaTheme="minorEastAsia"/>
          <w:color w:val="000000" w:themeColor="text1"/>
          <w:sz w:val="24"/>
          <w:szCs w:val="24"/>
        </w:rPr>
        <w:t>所大学全球排名前</w:t>
      </w:r>
      <w:r>
        <w:rPr>
          <w:rFonts w:cs="仿宋_GB2312" w:asciiTheme="minorEastAsia" w:hAnsiTheme="minorEastAsia" w:eastAsiaTheme="minorEastAsia"/>
          <w:color w:val="000000" w:themeColor="text1"/>
          <w:sz w:val="24"/>
          <w:szCs w:val="24"/>
        </w:rPr>
        <w:t>100</w:t>
      </w:r>
      <w:r>
        <w:rPr>
          <w:rFonts w:hint="eastAsia" w:cs="仿宋_GB2312" w:asciiTheme="minorEastAsia" w:hAnsiTheme="minorEastAsia" w:eastAsiaTheme="minorEastAsia"/>
          <w:color w:val="000000" w:themeColor="text1"/>
          <w:sz w:val="24"/>
          <w:szCs w:val="24"/>
        </w:rPr>
        <w:t>名。年均</w:t>
      </w:r>
      <w:r>
        <w:rPr>
          <w:rFonts w:cs="仿宋_GB2312" w:asciiTheme="minorEastAsia" w:hAnsiTheme="minorEastAsia" w:eastAsiaTheme="minorEastAsia"/>
          <w:color w:val="000000" w:themeColor="text1"/>
          <w:sz w:val="24"/>
          <w:szCs w:val="24"/>
        </w:rPr>
        <w:t>1200</w:t>
      </w:r>
      <w:r>
        <w:rPr>
          <w:rFonts w:hint="eastAsia" w:cs="仿宋_GB2312" w:asciiTheme="minorEastAsia" w:hAnsiTheme="minorEastAsia" w:eastAsiaTheme="minorEastAsia"/>
          <w:color w:val="000000" w:themeColor="text1"/>
          <w:sz w:val="24"/>
          <w:szCs w:val="24"/>
        </w:rPr>
        <w:t>名国（境）外学者来校开展学术交流。现有“中美水土保持与环境保护研究中心”、“中加旱区农业科技创新中心”</w:t>
      </w:r>
      <w:r>
        <w:rPr>
          <w:rFonts w:cs="仿宋_GB2312" w:asciiTheme="minorEastAsia" w:hAnsiTheme="minorEastAsia" w:eastAsiaTheme="minorEastAsia"/>
          <w:color w:val="000000" w:themeColor="text1"/>
          <w:sz w:val="24"/>
          <w:szCs w:val="24"/>
        </w:rPr>
        <w:t>9</w:t>
      </w:r>
      <w:r>
        <w:rPr>
          <w:rFonts w:hint="eastAsia" w:cs="仿宋_GB2312" w:asciiTheme="minorEastAsia" w:hAnsiTheme="minorEastAsia" w:eastAsiaTheme="minorEastAsia"/>
          <w:color w:val="000000" w:themeColor="text1"/>
          <w:sz w:val="24"/>
          <w:szCs w:val="24"/>
        </w:rPr>
        <w:t>个等国际科技合作平台。</w:t>
      </w:r>
    </w:p>
    <w:p>
      <w:pPr>
        <w:pStyle w:val="2"/>
        <w:spacing w:before="180" w:after="180"/>
      </w:pPr>
      <w:bookmarkStart w:id="1" w:name="_Toc437350051"/>
      <w:bookmarkStart w:id="2" w:name="_Toc438192351"/>
      <w:r>
        <w:rPr>
          <w:rFonts w:hint="eastAsia"/>
        </w:rPr>
        <w:t>二、本科教育基本情况</w:t>
      </w:r>
      <w:bookmarkEnd w:id="1"/>
      <w:bookmarkEnd w:id="2"/>
    </w:p>
    <w:p>
      <w:pPr>
        <w:pStyle w:val="4"/>
        <w:spacing w:before="72" w:after="72"/>
      </w:pPr>
      <w:r>
        <w:rPr>
          <w:rFonts w:hint="eastAsia"/>
        </w:rPr>
        <w:t>1.人才培养目标</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学校本科人才培养目标是“培养身心健康、人格健全、思维创新、富有人文情怀和社会责任感的农林学科发展急需的学术精英、创新创业的技术领军人才和农业与农村社会发展的领导者”。</w:t>
      </w:r>
    </w:p>
    <w:p>
      <w:pPr>
        <w:pStyle w:val="4"/>
        <w:spacing w:before="72" w:after="72"/>
      </w:pPr>
      <w:r>
        <w:rPr>
          <w:rFonts w:hint="eastAsia"/>
        </w:rPr>
        <w:t>2.本科专业设置</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设有65个本科专业，涵盖农、理、工、管、经、法、文和艺术学等8个学科门类，其中农学14个，理学7个，工学29个，经济学4个，管理学6个，法学3个，文学1个，艺术学1个。有国家级特色专业建设点12个，省级名牌专业11 个，省级特色专业建设点19 个，省级专业综合改革试点12个，形成了以优势学科专业为主体，优势特色学科与关联专业良性互动、协同发展的良好发展态势。</w:t>
      </w:r>
    </w:p>
    <w:p>
      <w:pPr>
        <w:pStyle w:val="4"/>
        <w:spacing w:before="72" w:after="72"/>
      </w:pPr>
      <w:r>
        <w:rPr>
          <w:rFonts w:hint="eastAsia"/>
        </w:rPr>
        <w:t>3.全日制在校学生人数</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有全日制在校学生29,549人，其中本科生21,827人，占全日制在校生总数的73.87%；硕士研究生5,476人，占全日制在校生总数的18.53%；博士研究生1,989人，占全日制在校生总数的6.73%；留学生166人，占全日制在校生总数的0.56%；预科生91人，占全日制在校生总数的0.31%。</w:t>
      </w:r>
    </w:p>
    <w:p>
      <w:pPr>
        <w:adjustRightInd/>
        <w:snapToGrid/>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br w:type="page"/>
      </w:r>
    </w:p>
    <w:p>
      <w:pPr>
        <w:ind w:firstLine="420" w:firstLineChars="200"/>
        <w:jc w:val="center"/>
        <w:rPr>
          <w:rFonts w:asciiTheme="minorEastAsia" w:hAnsiTheme="minorEastAsia" w:eastAsiaTheme="minorEastAsia"/>
          <w:bCs/>
          <w:color w:val="000000" w:themeColor="text1"/>
          <w:kern w:val="2"/>
          <w:sz w:val="21"/>
          <w:szCs w:val="21"/>
        </w:rPr>
      </w:pPr>
      <w:r>
        <w:rPr>
          <w:rFonts w:hint="eastAsia" w:asciiTheme="minorEastAsia" w:hAnsiTheme="minorEastAsia" w:eastAsiaTheme="minorEastAsia"/>
          <w:bCs/>
          <w:color w:val="000000" w:themeColor="text1"/>
          <w:kern w:val="2"/>
          <w:sz w:val="21"/>
          <w:szCs w:val="21"/>
        </w:rPr>
        <w:t>表1-1  2014年在校学生人数</w:t>
      </w:r>
    </w:p>
    <w:tbl>
      <w:tblPr>
        <w:tblStyle w:val="12"/>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693"/>
        <w:gridCol w:w="1693"/>
        <w:gridCol w:w="169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93" w:type="dxa"/>
            <w:vAlign w:val="center"/>
          </w:tcPr>
          <w:p>
            <w:pPr>
              <w:topLinePunct/>
              <w:jc w:val="center"/>
              <w:rPr>
                <w:rFonts w:cs="宋体" w:asciiTheme="minorEastAsia" w:hAnsiTheme="minorEastAsia" w:eastAsiaTheme="minorEastAsia"/>
                <w:iCs/>
                <w:color w:val="000000" w:themeColor="text1"/>
                <w:sz w:val="21"/>
                <w:szCs w:val="21"/>
              </w:rPr>
            </w:pPr>
            <w:r>
              <w:rPr>
                <w:rFonts w:hint="eastAsia" w:cs="宋体" w:asciiTheme="minorEastAsia" w:hAnsiTheme="minorEastAsia" w:eastAsiaTheme="minorEastAsia"/>
                <w:iCs/>
                <w:color w:val="000000" w:themeColor="text1"/>
                <w:sz w:val="21"/>
                <w:szCs w:val="21"/>
              </w:rPr>
              <w:t>类别</w:t>
            </w:r>
          </w:p>
        </w:tc>
        <w:tc>
          <w:tcPr>
            <w:tcW w:w="1693" w:type="dxa"/>
            <w:vAlign w:val="center"/>
          </w:tcPr>
          <w:p>
            <w:pPr>
              <w:topLinePunct/>
              <w:jc w:val="center"/>
              <w:rPr>
                <w:rFonts w:cs="宋体" w:asciiTheme="minorEastAsia" w:hAnsiTheme="minorEastAsia" w:eastAsiaTheme="minorEastAsia"/>
                <w:iCs/>
                <w:color w:val="000000" w:themeColor="text1"/>
                <w:sz w:val="21"/>
                <w:szCs w:val="21"/>
              </w:rPr>
            </w:pPr>
            <w:r>
              <w:rPr>
                <w:rFonts w:hint="eastAsia" w:cs="宋体" w:asciiTheme="minorEastAsia" w:hAnsiTheme="minorEastAsia" w:eastAsiaTheme="minorEastAsia"/>
                <w:iCs/>
                <w:color w:val="000000" w:themeColor="text1"/>
                <w:sz w:val="21"/>
                <w:szCs w:val="21"/>
              </w:rPr>
              <w:t>人数</w:t>
            </w:r>
          </w:p>
        </w:tc>
        <w:tc>
          <w:tcPr>
            <w:tcW w:w="1693" w:type="dxa"/>
            <w:vAlign w:val="center"/>
          </w:tcPr>
          <w:p>
            <w:pPr>
              <w:topLinePunct/>
              <w:jc w:val="center"/>
              <w:rPr>
                <w:rFonts w:cs="宋体" w:asciiTheme="minorEastAsia" w:hAnsiTheme="minorEastAsia" w:eastAsiaTheme="minorEastAsia"/>
                <w:iCs/>
                <w:color w:val="000000" w:themeColor="text1"/>
                <w:sz w:val="21"/>
                <w:szCs w:val="21"/>
              </w:rPr>
            </w:pPr>
            <w:r>
              <w:rPr>
                <w:rFonts w:hint="eastAsia" w:cs="宋体" w:asciiTheme="minorEastAsia" w:hAnsiTheme="minorEastAsia" w:eastAsiaTheme="minorEastAsia"/>
                <w:iCs/>
                <w:color w:val="000000" w:themeColor="text1"/>
                <w:sz w:val="21"/>
                <w:szCs w:val="21"/>
              </w:rPr>
              <w:t>折合数</w:t>
            </w:r>
          </w:p>
        </w:tc>
        <w:tc>
          <w:tcPr>
            <w:tcW w:w="1693" w:type="dxa"/>
            <w:vAlign w:val="center"/>
          </w:tcPr>
          <w:p>
            <w:pPr>
              <w:topLinePunct/>
              <w:jc w:val="center"/>
              <w:rPr>
                <w:rFonts w:cs="宋体" w:asciiTheme="minorEastAsia" w:hAnsiTheme="minorEastAsia" w:eastAsiaTheme="minorEastAsia"/>
                <w:iCs/>
                <w:color w:val="000000" w:themeColor="text1"/>
                <w:sz w:val="21"/>
                <w:szCs w:val="21"/>
              </w:rPr>
            </w:pPr>
            <w:r>
              <w:rPr>
                <w:rFonts w:hint="eastAsia" w:cs="宋体" w:asciiTheme="minorEastAsia" w:hAnsiTheme="minorEastAsia" w:eastAsiaTheme="minorEastAsia"/>
                <w:iCs/>
                <w:color w:val="000000" w:themeColor="text1"/>
                <w:sz w:val="21"/>
                <w:szCs w:val="21"/>
              </w:rPr>
              <w:t>比例</w:t>
            </w:r>
          </w:p>
          <w:p>
            <w:pPr>
              <w:topLinePunct/>
              <w:jc w:val="center"/>
              <w:rPr>
                <w:rFonts w:cs="宋体" w:asciiTheme="minorEastAsia" w:hAnsiTheme="minorEastAsia" w:eastAsiaTheme="minorEastAsia"/>
                <w:iCs/>
                <w:color w:val="000000" w:themeColor="text1"/>
                <w:sz w:val="21"/>
                <w:szCs w:val="21"/>
              </w:rPr>
            </w:pPr>
            <w:r>
              <w:rPr>
                <w:rFonts w:hint="eastAsia" w:cs="宋体" w:asciiTheme="minorEastAsia" w:hAnsiTheme="minorEastAsia" w:eastAsiaTheme="minorEastAsia"/>
                <w:iCs/>
                <w:color w:val="000000" w:themeColor="text1"/>
                <w:sz w:val="21"/>
                <w:szCs w:val="21"/>
              </w:rPr>
              <w:t>（按实际数计）</w:t>
            </w:r>
          </w:p>
        </w:tc>
        <w:tc>
          <w:tcPr>
            <w:tcW w:w="1693" w:type="dxa"/>
            <w:vAlign w:val="center"/>
          </w:tcPr>
          <w:p>
            <w:pPr>
              <w:topLinePunct/>
              <w:jc w:val="center"/>
              <w:rPr>
                <w:rFonts w:cs="宋体" w:asciiTheme="minorEastAsia" w:hAnsiTheme="minorEastAsia" w:eastAsiaTheme="minorEastAsia"/>
                <w:iCs/>
                <w:color w:val="000000" w:themeColor="text1"/>
                <w:sz w:val="21"/>
                <w:szCs w:val="21"/>
              </w:rPr>
            </w:pPr>
            <w:r>
              <w:rPr>
                <w:rFonts w:hint="eastAsia" w:cs="宋体" w:asciiTheme="minorEastAsia" w:hAnsiTheme="minorEastAsia" w:eastAsiaTheme="minorEastAsia"/>
                <w:iCs/>
                <w:color w:val="000000" w:themeColor="text1"/>
                <w:sz w:val="21"/>
                <w:szCs w:val="21"/>
              </w:rPr>
              <w:t>比例</w:t>
            </w:r>
          </w:p>
          <w:p>
            <w:pPr>
              <w:topLinePunct/>
              <w:jc w:val="center"/>
              <w:rPr>
                <w:rFonts w:cs="宋体" w:asciiTheme="minorEastAsia" w:hAnsiTheme="minorEastAsia" w:eastAsiaTheme="minorEastAsia"/>
                <w:iCs/>
                <w:color w:val="000000" w:themeColor="text1"/>
                <w:sz w:val="21"/>
                <w:szCs w:val="21"/>
              </w:rPr>
            </w:pPr>
            <w:r>
              <w:rPr>
                <w:rFonts w:hint="eastAsia" w:cs="宋体" w:asciiTheme="minorEastAsia" w:hAnsiTheme="minorEastAsia" w:eastAsiaTheme="minorEastAsia"/>
                <w:iCs/>
                <w:color w:val="000000" w:themeColor="text1"/>
                <w:sz w:val="21"/>
                <w:szCs w:val="21"/>
              </w:rPr>
              <w:t>（按折合数计）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3" w:type="dxa"/>
            <w:vAlign w:val="center"/>
          </w:tcPr>
          <w:p>
            <w:pPr>
              <w:topLinePunct/>
              <w:jc w:val="center"/>
              <w:rPr>
                <w:rFonts w:cs="宋体" w:asciiTheme="minorEastAsia" w:hAnsiTheme="minorEastAsia" w:eastAsiaTheme="minorEastAsia"/>
                <w:bCs/>
                <w:iCs/>
                <w:sz w:val="21"/>
                <w:szCs w:val="21"/>
              </w:rPr>
            </w:pPr>
            <w:r>
              <w:rPr>
                <w:rFonts w:hint="eastAsia" w:cs="宋体" w:asciiTheme="minorEastAsia" w:hAnsiTheme="minorEastAsia" w:eastAsiaTheme="minorEastAsia"/>
                <w:bCs/>
                <w:iCs/>
                <w:sz w:val="21"/>
                <w:szCs w:val="21"/>
              </w:rPr>
              <w:t xml:space="preserve">普通本科生数 </w:t>
            </w:r>
            <w:r>
              <w:rPr>
                <w:rFonts w:hint="eastAsia" w:cs="宋体" w:asciiTheme="minorEastAsia" w:hAnsiTheme="minorEastAsia" w:eastAsiaTheme="minorEastAsia"/>
                <w:bCs/>
                <w:sz w:val="21"/>
                <w:szCs w:val="21"/>
              </w:rPr>
              <w:t>（全日制）</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21827</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21827</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73.87%</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61.41%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3" w:type="dxa"/>
            <w:vAlign w:val="center"/>
          </w:tcPr>
          <w:p>
            <w:pPr>
              <w:topLinePun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硕士研究生</w:t>
            </w:r>
            <w:r>
              <w:rPr>
                <w:rFonts w:hint="eastAsia" w:cs="宋体" w:asciiTheme="minorEastAsia" w:hAnsiTheme="minorEastAsia" w:eastAsiaTheme="minorEastAsia"/>
                <w:bCs/>
                <w:iCs/>
                <w:sz w:val="21"/>
                <w:szCs w:val="21"/>
              </w:rPr>
              <w:t xml:space="preserve">数 </w:t>
            </w:r>
            <w:r>
              <w:rPr>
                <w:rFonts w:hint="eastAsia" w:cs="宋体" w:asciiTheme="minorEastAsia" w:hAnsiTheme="minorEastAsia" w:eastAsiaTheme="minorEastAsia"/>
                <w:bCs/>
                <w:sz w:val="21"/>
                <w:szCs w:val="21"/>
              </w:rPr>
              <w:t>（全日制）</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5476</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8214</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18.53%</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3" w:type="dxa"/>
            <w:vAlign w:val="center"/>
          </w:tcPr>
          <w:p>
            <w:pPr>
              <w:topLinePun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博士研究生</w:t>
            </w:r>
            <w:r>
              <w:rPr>
                <w:rFonts w:hint="eastAsia" w:cs="宋体" w:asciiTheme="minorEastAsia" w:hAnsiTheme="minorEastAsia" w:eastAsiaTheme="minorEastAsia"/>
                <w:bCs/>
                <w:iCs/>
                <w:sz w:val="21"/>
                <w:szCs w:val="21"/>
              </w:rPr>
              <w:t xml:space="preserve">数 </w:t>
            </w:r>
            <w:r>
              <w:rPr>
                <w:rFonts w:hint="eastAsia" w:cs="宋体" w:asciiTheme="minorEastAsia" w:hAnsiTheme="minorEastAsia" w:eastAsiaTheme="minorEastAsia"/>
                <w:bCs/>
                <w:sz w:val="21"/>
                <w:szCs w:val="21"/>
              </w:rPr>
              <w:t>（全日制）</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1989</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3978</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6.73%</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3" w:type="dxa"/>
            <w:vAlign w:val="center"/>
          </w:tcPr>
          <w:p>
            <w:pPr>
              <w:topLinePun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外国留学生</w:t>
            </w:r>
            <w:r>
              <w:rPr>
                <w:rFonts w:hint="eastAsia" w:cs="宋体" w:asciiTheme="minorEastAsia" w:hAnsiTheme="minorEastAsia" w:eastAsiaTheme="minorEastAsia"/>
                <w:bCs/>
                <w:iCs/>
                <w:sz w:val="21"/>
                <w:szCs w:val="21"/>
              </w:rPr>
              <w:t xml:space="preserve">数 </w:t>
            </w:r>
            <w:r>
              <w:rPr>
                <w:rFonts w:hint="eastAsia" w:cs="宋体" w:asciiTheme="minorEastAsia" w:hAnsiTheme="minorEastAsia" w:eastAsiaTheme="minorEastAsia"/>
                <w:bCs/>
                <w:sz w:val="21"/>
                <w:szCs w:val="21"/>
              </w:rPr>
              <w:t>（全日制）</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166</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498</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0.56%</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3" w:type="dxa"/>
            <w:vAlign w:val="center"/>
          </w:tcPr>
          <w:p>
            <w:pPr>
              <w:topLinePun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成人教育学生</w:t>
            </w:r>
            <w:r>
              <w:rPr>
                <w:rFonts w:hint="eastAsia" w:cs="宋体" w:asciiTheme="minorEastAsia" w:hAnsiTheme="minorEastAsia" w:eastAsiaTheme="minorEastAsia"/>
                <w:bCs/>
                <w:iCs/>
                <w:sz w:val="21"/>
                <w:szCs w:val="21"/>
              </w:rPr>
              <w:t>数</w:t>
            </w:r>
            <w:r>
              <w:rPr>
                <w:rFonts w:hint="eastAsia" w:cs="宋体" w:asciiTheme="minorEastAsia" w:hAnsiTheme="minorEastAsia" w:eastAsiaTheme="minorEastAsia"/>
                <w:bCs/>
                <w:sz w:val="21"/>
                <w:szCs w:val="21"/>
              </w:rPr>
              <w:t>（非全日制）</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9349</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934.9</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3" w:type="dxa"/>
            <w:vAlign w:val="center"/>
          </w:tcPr>
          <w:p>
            <w:pPr>
              <w:topLinePun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普通预科生</w:t>
            </w:r>
            <w:r>
              <w:rPr>
                <w:rFonts w:hint="eastAsia" w:cs="宋体" w:asciiTheme="minorEastAsia" w:hAnsiTheme="minorEastAsia" w:eastAsiaTheme="minorEastAsia"/>
                <w:bCs/>
                <w:iCs/>
                <w:sz w:val="21"/>
                <w:szCs w:val="21"/>
              </w:rPr>
              <w:t>数</w:t>
            </w:r>
          </w:p>
        </w:tc>
        <w:tc>
          <w:tcPr>
            <w:tcW w:w="1693" w:type="dxa"/>
            <w:vAlign w:val="center"/>
          </w:tcPr>
          <w:p>
            <w:pPr>
              <w:jc w:val="center"/>
              <w:rPr>
                <w:rFonts w:cs="宋体" w:asciiTheme="minorEastAsia" w:hAnsiTheme="minorEastAsia" w:eastAsiaTheme="minorEastAsia"/>
                <w:sz w:val="21"/>
                <w:szCs w:val="21"/>
                <w:highlight w:val="yellow"/>
              </w:rPr>
            </w:pPr>
            <w:r>
              <w:rPr>
                <w:rFonts w:asciiTheme="minorEastAsia" w:hAnsiTheme="minorEastAsia" w:eastAsiaTheme="minorEastAsia"/>
                <w:sz w:val="21"/>
                <w:szCs w:val="21"/>
              </w:rPr>
              <w:t>91</w:t>
            </w:r>
          </w:p>
        </w:tc>
        <w:tc>
          <w:tcPr>
            <w:tcW w:w="1693" w:type="dxa"/>
            <w:vAlign w:val="center"/>
          </w:tcPr>
          <w:p>
            <w:pPr>
              <w:jc w:val="center"/>
              <w:rPr>
                <w:rFonts w:cs="宋体" w:asciiTheme="minorEastAsia" w:hAnsiTheme="minorEastAsia" w:eastAsiaTheme="minorEastAsia"/>
                <w:sz w:val="21"/>
                <w:szCs w:val="21"/>
                <w:highlight w:val="yellow"/>
              </w:rPr>
            </w:pPr>
            <w:r>
              <w:rPr>
                <w:rFonts w:asciiTheme="minorEastAsia" w:hAnsiTheme="minorEastAsia" w:eastAsiaTheme="minorEastAsia"/>
                <w:sz w:val="21"/>
                <w:szCs w:val="21"/>
              </w:rPr>
              <w:t>91</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0.31%</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3" w:type="dxa"/>
            <w:vAlign w:val="center"/>
          </w:tcPr>
          <w:p>
            <w:pPr>
              <w:topLinePunct/>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全日制在校生数</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29549</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35542.9</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693"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w:t>
            </w:r>
          </w:p>
        </w:tc>
      </w:tr>
    </w:tbl>
    <w:p>
      <w:pPr>
        <w:pStyle w:val="11"/>
        <w:widowControl w:val="0"/>
        <w:topLinePunct/>
        <w:spacing w:beforeLines="50" w:beforeAutospacing="0" w:after="0" w:afterAutospacing="0"/>
        <w:ind w:firstLine="420" w:firstLineChars="200"/>
        <w:jc w:val="both"/>
        <w:rPr>
          <w:rFonts w:cs="仿宋_GB2312"/>
          <w:color w:val="000000" w:themeColor="text1"/>
          <w:sz w:val="21"/>
          <w:szCs w:val="21"/>
        </w:rPr>
      </w:pPr>
      <w:r>
        <w:rPr>
          <w:rFonts w:hint="eastAsia" w:cs="仿宋_GB2312"/>
          <w:color w:val="000000" w:themeColor="text1"/>
          <w:sz w:val="21"/>
          <w:szCs w:val="21"/>
        </w:rPr>
        <w:t>备注：折合在校生数=普通本、专科（高职)生数+全日制硕士生数×1.5+全日制博士生数×2+留学生数×3+预科生数+进修生数+成人脱产班学生数+夜大（业余)学生数×0.3+函授生数×0.1（不包括自考生）。</w:t>
      </w:r>
    </w:p>
    <w:p>
      <w:pPr>
        <w:pStyle w:val="4"/>
        <w:spacing w:before="72" w:after="72"/>
      </w:pPr>
      <w:r>
        <w:rPr>
          <w:rFonts w:hint="eastAsia"/>
        </w:rPr>
        <w:t>4.本科生源质量</w:t>
      </w:r>
    </w:p>
    <w:p>
      <w:pPr>
        <w:spacing w:line="400" w:lineRule="exact"/>
        <w:ind w:firstLine="480" w:firstLineChars="200"/>
        <w:jc w:val="both"/>
        <w:rPr>
          <w:rFonts w:asciiTheme="minorEastAsia" w:hAnsiTheme="minorEastAsia" w:eastAsiaTheme="minorEastAsia"/>
          <w:b/>
          <w:bCs/>
          <w:color w:val="000000" w:themeColor="text1"/>
          <w:kern w:val="2"/>
          <w:sz w:val="24"/>
          <w:szCs w:val="24"/>
        </w:rPr>
      </w:pPr>
      <w:r>
        <w:rPr>
          <w:rFonts w:hint="eastAsia" w:cs="仿宋_GB2312" w:asciiTheme="minorEastAsia" w:hAnsiTheme="minorEastAsia" w:eastAsiaTheme="minorEastAsia"/>
          <w:color w:val="000000" w:themeColor="text1"/>
          <w:sz w:val="24"/>
          <w:szCs w:val="24"/>
        </w:rPr>
        <w:t>2014年，学校有61个本科专业面向全国31个省（市、自治区）招生，招生计划5,380人，实际录取5,364人。其中普通文史类录取426人，录取分平均高出一本线26.4 分；普通理工类共录取4,014人，录取分平均高一本线50.1 分，较上年高7.4分；提前批生命科学与技术基地班录取分平均高出一本线58.3分，较上年高出5.4分。</w:t>
      </w:r>
    </w:p>
    <w:p>
      <w:pPr>
        <w:ind w:firstLine="482" w:firstLineChars="200"/>
        <w:jc w:val="center"/>
        <w:rPr>
          <w:rFonts w:ascii="仿宋_GB2312" w:eastAsia="仿宋_GB2312"/>
          <w:b/>
          <w:bCs/>
          <w:color w:val="000000" w:themeColor="text1"/>
          <w:kern w:val="2"/>
          <w:sz w:val="24"/>
          <w:szCs w:val="24"/>
        </w:rPr>
      </w:pPr>
    </w:p>
    <w:p>
      <w:pPr>
        <w:ind w:firstLine="420" w:firstLineChars="200"/>
        <w:jc w:val="center"/>
        <w:rPr>
          <w:rFonts w:asciiTheme="minorEastAsia" w:hAnsiTheme="minorEastAsia" w:eastAsiaTheme="minorEastAsia"/>
          <w:bCs/>
          <w:color w:val="000000" w:themeColor="text1"/>
          <w:kern w:val="2"/>
          <w:sz w:val="21"/>
          <w:szCs w:val="21"/>
        </w:rPr>
      </w:pPr>
      <w:r>
        <w:rPr>
          <w:rFonts w:hint="eastAsia" w:asciiTheme="minorEastAsia" w:hAnsiTheme="minorEastAsia" w:eastAsiaTheme="minorEastAsia"/>
          <w:bCs/>
          <w:color w:val="000000" w:themeColor="text1"/>
          <w:kern w:val="2"/>
          <w:sz w:val="21"/>
          <w:szCs w:val="21"/>
        </w:rPr>
        <w:t xml:space="preserve">表2-2  </w:t>
      </w:r>
      <w:r>
        <w:rPr>
          <w:rFonts w:asciiTheme="minorEastAsia" w:hAnsiTheme="minorEastAsia" w:eastAsiaTheme="minorEastAsia"/>
          <w:bCs/>
          <w:color w:val="000000" w:themeColor="text1"/>
          <w:kern w:val="2"/>
          <w:sz w:val="21"/>
          <w:szCs w:val="21"/>
        </w:rPr>
        <w:t>2012-2014</w:t>
      </w:r>
      <w:r>
        <w:rPr>
          <w:rFonts w:hint="eastAsia" w:asciiTheme="minorEastAsia" w:hAnsiTheme="minorEastAsia" w:eastAsiaTheme="minorEastAsia"/>
          <w:bCs/>
          <w:color w:val="000000" w:themeColor="text1"/>
          <w:kern w:val="2"/>
          <w:sz w:val="21"/>
          <w:szCs w:val="21"/>
        </w:rPr>
        <w:t>年高出一本线各分数段考生人数统计表（</w:t>
      </w:r>
      <w:r>
        <w:rPr>
          <w:rFonts w:asciiTheme="minorEastAsia" w:hAnsiTheme="minorEastAsia" w:eastAsiaTheme="minorEastAsia"/>
          <w:bCs/>
          <w:color w:val="000000" w:themeColor="text1"/>
          <w:kern w:val="2"/>
          <w:sz w:val="21"/>
          <w:szCs w:val="21"/>
        </w:rPr>
        <w:t>%</w:t>
      </w:r>
      <w:r>
        <w:rPr>
          <w:rFonts w:hint="eastAsia" w:asciiTheme="minorEastAsia" w:hAnsiTheme="minorEastAsia" w:eastAsiaTheme="minorEastAsia"/>
          <w:bCs/>
          <w:color w:val="000000" w:themeColor="text1"/>
          <w:kern w:val="2"/>
          <w:sz w:val="21"/>
          <w:szCs w:val="21"/>
        </w:rPr>
        <w:t>）</w:t>
      </w:r>
    </w:p>
    <w:tbl>
      <w:tblPr>
        <w:tblStyle w:val="12"/>
        <w:tblW w:w="8531" w:type="dxa"/>
        <w:jc w:val="center"/>
        <w:tblLayout w:type="fixed"/>
        <w:tblCellMar>
          <w:top w:w="0" w:type="dxa"/>
          <w:left w:w="108" w:type="dxa"/>
          <w:bottom w:w="0" w:type="dxa"/>
          <w:right w:w="108" w:type="dxa"/>
        </w:tblCellMar>
      </w:tblPr>
      <w:tblGrid>
        <w:gridCol w:w="947"/>
        <w:gridCol w:w="948"/>
        <w:gridCol w:w="948"/>
        <w:gridCol w:w="948"/>
        <w:gridCol w:w="948"/>
        <w:gridCol w:w="948"/>
        <w:gridCol w:w="948"/>
        <w:gridCol w:w="948"/>
        <w:gridCol w:w="948"/>
      </w:tblGrid>
      <w:tr>
        <w:tblPrEx>
          <w:tblCellMar>
            <w:top w:w="0" w:type="dxa"/>
            <w:left w:w="108" w:type="dxa"/>
            <w:bottom w:w="0" w:type="dxa"/>
            <w:right w:w="108" w:type="dxa"/>
          </w:tblCellMar>
        </w:tblPrEx>
        <w:trPr>
          <w:trHeight w:val="545"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年份</w:t>
            </w:r>
          </w:p>
        </w:tc>
        <w:tc>
          <w:tcPr>
            <w:tcW w:w="94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0-9</w:t>
            </w:r>
          </w:p>
        </w:tc>
        <w:tc>
          <w:tcPr>
            <w:tcW w:w="94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10-19</w:t>
            </w:r>
          </w:p>
        </w:tc>
        <w:tc>
          <w:tcPr>
            <w:tcW w:w="94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20-29</w:t>
            </w:r>
          </w:p>
        </w:tc>
        <w:tc>
          <w:tcPr>
            <w:tcW w:w="94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30-39</w:t>
            </w:r>
          </w:p>
        </w:tc>
        <w:tc>
          <w:tcPr>
            <w:tcW w:w="94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40-49</w:t>
            </w:r>
          </w:p>
        </w:tc>
        <w:tc>
          <w:tcPr>
            <w:tcW w:w="94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50-59</w:t>
            </w:r>
          </w:p>
        </w:tc>
        <w:tc>
          <w:tcPr>
            <w:tcW w:w="94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60-69</w:t>
            </w:r>
          </w:p>
        </w:tc>
        <w:tc>
          <w:tcPr>
            <w:tcW w:w="948"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70</w:t>
            </w:r>
            <w:r>
              <w:rPr>
                <w:rFonts w:hint="eastAsia" w:asciiTheme="minorEastAsia" w:hAnsiTheme="minorEastAsia" w:eastAsiaTheme="minorEastAsia"/>
                <w:bCs/>
                <w:color w:val="000000" w:themeColor="text1"/>
                <w:kern w:val="2"/>
                <w:sz w:val="21"/>
                <w:szCs w:val="21"/>
              </w:rPr>
              <w:t>分</w:t>
            </w:r>
          </w:p>
          <w:p>
            <w:pPr>
              <w:jc w:val="center"/>
              <w:rPr>
                <w:rFonts w:asciiTheme="minorEastAsia" w:hAnsiTheme="minorEastAsia" w:eastAsiaTheme="minorEastAsia"/>
                <w:bCs/>
                <w:color w:val="000000" w:themeColor="text1"/>
                <w:kern w:val="2"/>
                <w:sz w:val="21"/>
                <w:szCs w:val="21"/>
              </w:rPr>
            </w:pPr>
            <w:r>
              <w:rPr>
                <w:rFonts w:asciiTheme="minorEastAsia" w:hAnsiTheme="minorEastAsia" w:eastAsiaTheme="minorEastAsia"/>
                <w:bCs/>
                <w:color w:val="000000" w:themeColor="text1"/>
                <w:kern w:val="2"/>
                <w:sz w:val="21"/>
                <w:szCs w:val="21"/>
              </w:rPr>
              <w:t>以上</w:t>
            </w:r>
          </w:p>
        </w:tc>
      </w:tr>
      <w:tr>
        <w:tblPrEx>
          <w:tblCellMar>
            <w:top w:w="0" w:type="dxa"/>
            <w:left w:w="108" w:type="dxa"/>
            <w:bottom w:w="0" w:type="dxa"/>
            <w:right w:w="108" w:type="dxa"/>
          </w:tblCellMar>
        </w:tblPrEx>
        <w:trPr>
          <w:trHeight w:val="545" w:hRule="atLeast"/>
          <w:jc w:val="center"/>
        </w:trPr>
        <w:tc>
          <w:tcPr>
            <w:tcW w:w="947"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2012</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1.8</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7.2</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28.</w:t>
            </w:r>
            <w:r>
              <w:rPr>
                <w:rFonts w:hint="eastAsia" w:asciiTheme="minorEastAsia" w:hAnsiTheme="minorEastAsia" w:eastAsiaTheme="minorEastAsia"/>
                <w:color w:val="000000" w:themeColor="text1"/>
                <w:kern w:val="2"/>
                <w:sz w:val="21"/>
                <w:szCs w:val="21"/>
              </w:rPr>
              <w:t>6</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32.7</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17.1</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8.7</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2.9</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1.0</w:t>
            </w:r>
          </w:p>
        </w:tc>
      </w:tr>
      <w:tr>
        <w:trPr>
          <w:trHeight w:val="545" w:hRule="atLeast"/>
          <w:jc w:val="center"/>
        </w:trPr>
        <w:tc>
          <w:tcPr>
            <w:tcW w:w="947"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2013</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1.1</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3.7</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11.1</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23.3</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31.2</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19.2</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7.5</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3.0</w:t>
            </w:r>
          </w:p>
        </w:tc>
      </w:tr>
      <w:tr>
        <w:trPr>
          <w:trHeight w:val="545" w:hRule="atLeast"/>
          <w:jc w:val="center"/>
        </w:trPr>
        <w:tc>
          <w:tcPr>
            <w:tcW w:w="947"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2014</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1.1</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r>
              <w:rPr>
                <w:rFonts w:hint="eastAsia" w:asciiTheme="minorEastAsia" w:hAnsiTheme="minorEastAsia" w:eastAsiaTheme="minorEastAsia"/>
                <w:color w:val="000000" w:themeColor="text1"/>
                <w:kern w:val="2"/>
                <w:sz w:val="21"/>
                <w:szCs w:val="21"/>
              </w:rPr>
              <w:t>1</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5.0</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17.4</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20.3</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28.8</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18.7</w:t>
            </w:r>
          </w:p>
        </w:tc>
        <w:tc>
          <w:tcPr>
            <w:tcW w:w="948"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7.6</w:t>
            </w:r>
          </w:p>
        </w:tc>
      </w:tr>
    </w:tbl>
    <w:p>
      <w:pPr>
        <w:pStyle w:val="2"/>
        <w:spacing w:before="180" w:after="180"/>
      </w:pPr>
      <w:bookmarkStart w:id="3" w:name="_Toc437350052"/>
      <w:bookmarkStart w:id="4" w:name="_Toc438192352"/>
      <w:r>
        <w:rPr>
          <w:rFonts w:hint="eastAsia"/>
        </w:rPr>
        <w:t>三、师资与教学条件</w:t>
      </w:r>
      <w:bookmarkEnd w:id="3"/>
      <w:bookmarkEnd w:id="4"/>
    </w:p>
    <w:p>
      <w:pPr>
        <w:pStyle w:val="3"/>
        <w:spacing w:before="72" w:after="72"/>
      </w:pPr>
      <w:bookmarkStart w:id="5" w:name="_Toc438192353"/>
      <w:bookmarkStart w:id="6" w:name="_Toc437350053"/>
      <w:r>
        <w:rPr>
          <w:rFonts w:hint="eastAsia"/>
        </w:rPr>
        <w:t>（一）师资队伍</w:t>
      </w:r>
      <w:bookmarkEnd w:id="5"/>
      <w:bookmarkEnd w:id="6"/>
    </w:p>
    <w:p>
      <w:pPr>
        <w:pStyle w:val="4"/>
        <w:spacing w:before="72" w:after="72"/>
      </w:pPr>
      <w:r>
        <w:rPr>
          <w:rFonts w:hint="eastAsia"/>
        </w:rPr>
        <w:t>1.师资队伍数量</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截止</w:t>
      </w:r>
      <w:r>
        <w:rPr>
          <w:rFonts w:cs="仿宋_GB2312" w:asciiTheme="minorEastAsia" w:hAnsiTheme="minorEastAsia" w:eastAsiaTheme="minorEastAsia"/>
          <w:color w:val="000000" w:themeColor="text1"/>
        </w:rPr>
        <w:t>2014</w:t>
      </w:r>
      <w:r>
        <w:rPr>
          <w:rFonts w:hint="eastAsia" w:cs="仿宋_GB2312" w:asciiTheme="minorEastAsia" w:hAnsiTheme="minorEastAsia" w:eastAsiaTheme="minorEastAsia"/>
          <w:color w:val="000000" w:themeColor="text1"/>
        </w:rPr>
        <w:t>年底，学校有教职工4,480人，其中专任教师2,045人，外聘教师18人，生师比为17.3</w:t>
      </w:r>
      <w:r>
        <w:rPr>
          <w:rFonts w:cs="仿宋_GB2312" w:asciiTheme="minorEastAsia" w:hAnsiTheme="minorEastAsia" w:eastAsiaTheme="minorEastAsia"/>
          <w:color w:val="000000" w:themeColor="text1"/>
        </w:rPr>
        <w:t>8</w:t>
      </w:r>
      <w:r>
        <w:rPr>
          <w:rFonts w:hint="eastAsia" w:cs="仿宋_GB2312" w:asciiTheme="minorEastAsia" w:hAnsiTheme="minorEastAsia" w:eastAsiaTheme="minorEastAsia"/>
          <w:color w:val="000000" w:themeColor="text1"/>
        </w:rPr>
        <w:t>：1。</w:t>
      </w:r>
      <w:bookmarkStart w:id="54" w:name="_GoBack"/>
      <w:bookmarkEnd w:id="54"/>
    </w:p>
    <w:p>
      <w:pPr>
        <w:pStyle w:val="4"/>
        <w:spacing w:before="72" w:after="72"/>
      </w:pPr>
      <w:r>
        <w:rPr>
          <w:rFonts w:hint="eastAsia"/>
        </w:rPr>
        <w:t>2.师资队伍结构</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专任教师中，具有高级职称教师1,031人，占50.42%；具有博士学位1,189人，占58.14%；外校学缘的1,121人，占54.81%；45岁以下中青年教师1,405人，占68.70%。</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p>
    <w:p>
      <w:pPr>
        <w:spacing w:beforeLines="50"/>
        <w:ind w:firstLine="440" w:firstLineChars="200"/>
        <w:jc w:val="both"/>
        <w:rPr>
          <w:rFonts w:ascii="仿宋_GB2312" w:eastAsia="仿宋_GB2312" w:cs="仿宋_GB2312"/>
          <w:b/>
          <w:bCs/>
          <w:color w:val="000000" w:themeColor="text1"/>
          <w:sz w:val="30"/>
          <w:szCs w:val="30"/>
        </w:rPr>
      </w:pPr>
      <w:r>
        <w:rPr>
          <w:rFonts w:hint="eastAsia"/>
          <w:szCs w:val="30"/>
        </w:rPr>
        <w:drawing>
          <wp:inline distT="0" distB="0" distL="0" distR="0">
            <wp:extent cx="2254885" cy="1376680"/>
            <wp:effectExtent l="19050" t="0" r="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noChangeArrowheads="1"/>
                    </pic:cNvPicPr>
                  </pic:nvPicPr>
                  <pic:blipFill>
                    <a:blip r:embed="rId6" cstate="print"/>
                    <a:srcRect/>
                    <a:stretch>
                      <a:fillRect/>
                    </a:stretch>
                  </pic:blipFill>
                  <pic:spPr>
                    <a:xfrm>
                      <a:off x="0" y="0"/>
                      <a:ext cx="2256713" cy="1377711"/>
                    </a:xfrm>
                    <a:prstGeom prst="rect">
                      <a:avLst/>
                    </a:prstGeom>
                    <a:noFill/>
                    <a:ln w="9525">
                      <a:noFill/>
                      <a:miter lim="800000"/>
                      <a:headEnd/>
                      <a:tailEnd/>
                    </a:ln>
                  </pic:spPr>
                </pic:pic>
              </a:graphicData>
            </a:graphic>
          </wp:inline>
        </w:drawing>
      </w:r>
      <w:r>
        <w:rPr>
          <w:rFonts w:hint="eastAsia"/>
          <w:szCs w:val="30"/>
        </w:rPr>
        <w:drawing>
          <wp:inline distT="0" distB="0" distL="0" distR="0">
            <wp:extent cx="2249170" cy="135318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 cstate="print"/>
                    <a:srcRect/>
                    <a:stretch>
                      <a:fillRect/>
                    </a:stretch>
                  </pic:blipFill>
                  <pic:spPr>
                    <a:xfrm>
                      <a:off x="0" y="0"/>
                      <a:ext cx="2249176" cy="1353546"/>
                    </a:xfrm>
                    <a:prstGeom prst="rect">
                      <a:avLst/>
                    </a:prstGeom>
                    <a:noFill/>
                    <a:ln w="9525">
                      <a:noFill/>
                      <a:miter lim="800000"/>
                      <a:headEnd/>
                      <a:tailEnd/>
                    </a:ln>
                  </pic:spPr>
                </pic:pic>
              </a:graphicData>
            </a:graphic>
          </wp:inline>
        </w:drawing>
      </w:r>
    </w:p>
    <w:p>
      <w:pPr>
        <w:spacing w:beforeLines="50"/>
        <w:ind w:firstLine="602" w:firstLineChars="200"/>
        <w:jc w:val="both"/>
        <w:rPr>
          <w:rFonts w:ascii="仿宋_GB2312" w:eastAsia="仿宋_GB2312" w:cs="仿宋_GB2312"/>
          <w:b/>
          <w:bCs/>
          <w:color w:val="000000" w:themeColor="text1"/>
          <w:sz w:val="30"/>
          <w:szCs w:val="30"/>
        </w:rPr>
      </w:pPr>
    </w:p>
    <w:p>
      <w:pPr>
        <w:pStyle w:val="4"/>
        <w:spacing w:before="72" w:after="72"/>
      </w:pPr>
      <w:r>
        <w:rPr>
          <w:rFonts w:hint="eastAsia"/>
        </w:rPr>
        <w:t>3.师资队伍建设</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注重师资队伍发展的顶层设计。2014年学校研究制定了《关于全面加强人才队伍建设的意见》，明确实施两大工程和五大计划（“高端人才工程”和“青年英才工程”，“高端人才及团队引进计划”、“高端人才及团队支持计划”、“青年英才引进计划”、“青年英才培育计划”、“优秀青年教师海外提升计划”），师资队伍水平不断提升。有2人入选“长江学者”特聘教授；1人当选美国昆虫学会Fellow（会士），成为唯一在国内工作的美国昆虫学会Fellow（会士）科学家；3人入选陕西省“百人计划”；2 名教师进入国家“青年千人”行列；引进副教授以上高层次人才 21人，其中学校“特聘教授”3人，三级教授 5人；选聘具有博士学位青年教师 82人。姜雨、裴志超、许金荣、蔡坤等在《科学》《德国应用化学》《自然—通讯》《纳米快报》等国际著名学术期刊发表高水平论文；20 名教师入选国家公派高级研究学者及访问学者项目，创历史新高；32名教师入选国家青年骨干教师出国研修计划。</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深化教师分类管理改革。学校在《人员分类管理改革指导意见》的基础上，将教师岗位分为教学为主型、教学科研型、科研为主型和科研推广型四个系列，分类制定考核、职称晋升及管理办法，特别是设立教学为主型教师晋升职称系列，重点考核教学工作业绩，取消对科研项目、经费、论文的硬性指标要求，切实调动了教师全身心投入教学工作的积极性。</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加强教师教学能力建设。学校加强教学发展中心建设，组建了“师德培训团”，加强师德师风教育；组织开展12个专题的教学实务培训；选派169名教师参加校内外课程培训、研修，35名实验人员参加教学类实验培训；邀请知名教授开展教学类专题讲座16场；邀请台湾大学王秀槐教授、清华大学韩锡斌教授举办教学工作坊，参与教师246人次；组建“教育技术与应用”培训团队，举办培训23场次，参与教师累计达421人次；开展青年教师讲课比赛和微课教学比赛，其中16项作品由学校推荐参加陕西省首届高校微课教学比赛，获奖12项。</w:t>
      </w:r>
    </w:p>
    <w:p>
      <w:pPr>
        <w:pStyle w:val="4"/>
        <w:spacing w:before="72" w:after="72"/>
      </w:pPr>
      <w:r>
        <w:rPr>
          <w:rFonts w:hint="eastAsia"/>
        </w:rPr>
        <w:t>4.教授授课情况</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2013-2014学年，学校开设本科课程5,411门次，其中教授讲授本科课程959门次。教授讲授本科生课程占总课程数的比例为28.50%，主讲本科课程的教授占教授总数的84.6%。</w:t>
      </w:r>
    </w:p>
    <w:p>
      <w:pPr>
        <w:pStyle w:val="3"/>
        <w:spacing w:before="72" w:after="72"/>
      </w:pPr>
      <w:bookmarkStart w:id="7" w:name="_Toc437350054"/>
      <w:bookmarkStart w:id="8" w:name="_Toc438192354"/>
      <w:r>
        <w:rPr>
          <w:rFonts w:hint="eastAsia"/>
        </w:rPr>
        <w:t>（二）教学条件</w:t>
      </w:r>
      <w:bookmarkEnd w:id="7"/>
      <w:bookmarkEnd w:id="8"/>
    </w:p>
    <w:p>
      <w:pPr>
        <w:pStyle w:val="4"/>
        <w:spacing w:before="72" w:after="72"/>
      </w:pPr>
      <w:r>
        <w:rPr>
          <w:rFonts w:hint="eastAsia"/>
        </w:rPr>
        <w:t>1.教学经费投入</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rPr>
      </w:pPr>
      <w:r>
        <w:rPr>
          <w:rFonts w:hint="eastAsia" w:cs="仿宋_GB2312" w:asciiTheme="minorEastAsia" w:hAnsiTheme="minorEastAsia" w:eastAsiaTheme="minorEastAsia"/>
        </w:rPr>
        <w:t>学校按照“优先保证本科教学运行，逐年提高教学投入”的原则，在年度预算中优先安排本科教学经费。2014年，</w:t>
      </w:r>
      <w:r>
        <w:rPr>
          <w:rFonts w:hint="eastAsia" w:cs="仿宋_GB2312" w:asciiTheme="minorEastAsia" w:hAnsiTheme="minorEastAsia" w:eastAsiaTheme="minorEastAsia"/>
          <w:color w:val="000000"/>
        </w:rPr>
        <w:t>本科教学经费支出</w:t>
      </w:r>
      <w:r>
        <w:rPr>
          <w:rFonts w:hint="eastAsia" w:asciiTheme="minorEastAsia" w:hAnsiTheme="minorEastAsia" w:eastAsiaTheme="minorEastAsia"/>
        </w:rPr>
        <w:t>12,074.4</w:t>
      </w:r>
      <w:r>
        <w:rPr>
          <w:rFonts w:hint="eastAsia" w:cs="仿宋_GB2312" w:asciiTheme="minorEastAsia" w:hAnsiTheme="minorEastAsia" w:eastAsiaTheme="minorEastAsia"/>
          <w:color w:val="000000"/>
        </w:rPr>
        <w:t xml:space="preserve">万元，占教育事业收入的24.46%。其中本科教学日常运行支出经费 </w:t>
      </w:r>
      <w:r>
        <w:rPr>
          <w:rFonts w:hint="eastAsia" w:cs="仿宋_GB2312" w:asciiTheme="minorEastAsia" w:hAnsiTheme="minorEastAsia" w:eastAsiaTheme="minorEastAsia"/>
        </w:rPr>
        <w:t>5,762.4万</w:t>
      </w:r>
      <w:r>
        <w:rPr>
          <w:rFonts w:hint="eastAsia" w:cs="仿宋_GB2312" w:asciiTheme="minorEastAsia" w:hAnsiTheme="minorEastAsia" w:eastAsiaTheme="minorEastAsia"/>
          <w:color w:val="000000"/>
        </w:rPr>
        <w:t>元，占当年本科生学费收入（</w:t>
      </w:r>
      <w:r>
        <w:rPr>
          <w:rFonts w:hint="eastAsia" w:cs="仿宋_GB2312" w:asciiTheme="minorEastAsia" w:hAnsiTheme="minorEastAsia" w:eastAsiaTheme="minorEastAsia"/>
        </w:rPr>
        <w:t>10589.7）</w:t>
      </w:r>
      <w:r>
        <w:rPr>
          <w:rFonts w:hint="eastAsia" w:cs="仿宋_GB2312" w:asciiTheme="minorEastAsia" w:hAnsiTheme="minorEastAsia" w:eastAsiaTheme="minorEastAsia"/>
          <w:color w:val="000000"/>
        </w:rPr>
        <w:t>的54.42 %，生均2</w:t>
      </w:r>
      <w:r>
        <w:rPr>
          <w:rFonts w:hint="eastAsia" w:cs="仿宋_GB2312" w:asciiTheme="minorEastAsia" w:hAnsiTheme="minorEastAsia" w:eastAsiaTheme="minorEastAsia"/>
        </w:rPr>
        <w:t>,</w:t>
      </w:r>
      <w:r>
        <w:rPr>
          <w:rFonts w:hint="eastAsia" w:cs="仿宋_GB2312" w:asciiTheme="minorEastAsia" w:hAnsiTheme="minorEastAsia" w:eastAsiaTheme="minorEastAsia"/>
          <w:color w:val="000000"/>
        </w:rPr>
        <w:t>640元；</w:t>
      </w:r>
      <w:r>
        <w:rPr>
          <w:rFonts w:hint="eastAsia" w:cs="仿宋_GB2312" w:asciiTheme="minorEastAsia" w:hAnsiTheme="minorEastAsia" w:eastAsiaTheme="minorEastAsia"/>
        </w:rPr>
        <w:t>教学改革支出700万元，专业建设支出2,770万元，实践教学支出1,880万元。</w:t>
      </w:r>
      <w:r>
        <w:rPr>
          <w:rFonts w:hint="eastAsia" w:cs="仿宋_GB2312" w:asciiTheme="minorEastAsia" w:hAnsiTheme="minorEastAsia" w:eastAsiaTheme="minorEastAsia"/>
          <w:color w:val="000000"/>
        </w:rPr>
        <w:t xml:space="preserve">本科实验运行经费 702万，生均327.7元；本科实习经费 1,178万元，生均549.9 元。    </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重视学生的奖励与资助，设有国家奖学金、国家励志奖学金、国家助学金、校长奖学金，积极筹措社会资金设立各类奖助学金，扩大学生的受益面。全年向本科生发放国家奖助学金2,571.2万元；校长奖学金71.5万元；社会奖助学金636.65万元；专业奖学金753.05万元；发放勤工助学等学生资助专项经费370万元；办理生源地贷款1,790万元；国家助学贷款325.8万元，资助总额达6,518.2万元，受惠本科生达21,349人次。</w:t>
      </w:r>
    </w:p>
    <w:p>
      <w:pPr>
        <w:pStyle w:val="11"/>
        <w:widowControl w:val="0"/>
        <w:topLinePunct/>
        <w:spacing w:before="0" w:beforeAutospacing="0" w:after="0" w:afterAutospacing="0"/>
        <w:ind w:firstLine="420" w:firstLineChars="200"/>
        <w:jc w:val="center"/>
        <w:rPr>
          <w:rFonts w:cs="Times New Roman" w:asciiTheme="minorEastAsia" w:hAnsiTheme="minorEastAsia" w:eastAsiaTheme="minorEastAsia"/>
          <w:bCs/>
          <w:color w:val="000000" w:themeColor="text1"/>
          <w:kern w:val="2"/>
          <w:sz w:val="21"/>
          <w:szCs w:val="21"/>
        </w:rPr>
      </w:pPr>
      <w:r>
        <w:rPr>
          <w:rFonts w:hint="eastAsia" w:cs="Times New Roman" w:asciiTheme="minorEastAsia" w:hAnsiTheme="minorEastAsia" w:eastAsiaTheme="minorEastAsia"/>
          <w:bCs/>
          <w:color w:val="000000" w:themeColor="text1"/>
          <w:kern w:val="2"/>
          <w:sz w:val="21"/>
          <w:szCs w:val="21"/>
        </w:rPr>
        <w:t>表3-1 2014年向本科生发放各类奖助学金统计表</w:t>
      </w:r>
    </w:p>
    <w:tbl>
      <w:tblPr>
        <w:tblStyle w:val="12"/>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06"/>
        <w:gridCol w:w="907"/>
        <w:gridCol w:w="906"/>
        <w:gridCol w:w="906"/>
        <w:gridCol w:w="907"/>
        <w:gridCol w:w="906"/>
        <w:gridCol w:w="90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6"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项目</w:t>
            </w:r>
          </w:p>
        </w:tc>
        <w:tc>
          <w:tcPr>
            <w:tcW w:w="906"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国家奖助学金</w:t>
            </w:r>
          </w:p>
        </w:tc>
        <w:tc>
          <w:tcPr>
            <w:tcW w:w="907"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专业奖学金</w:t>
            </w:r>
          </w:p>
        </w:tc>
        <w:tc>
          <w:tcPr>
            <w:tcW w:w="906"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校长奖学金</w:t>
            </w:r>
          </w:p>
        </w:tc>
        <w:tc>
          <w:tcPr>
            <w:tcW w:w="906"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社会奖助学金</w:t>
            </w:r>
          </w:p>
        </w:tc>
        <w:tc>
          <w:tcPr>
            <w:tcW w:w="907"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生源地贷款</w:t>
            </w:r>
          </w:p>
        </w:tc>
        <w:tc>
          <w:tcPr>
            <w:tcW w:w="906"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国家助学贷款</w:t>
            </w:r>
          </w:p>
        </w:tc>
        <w:tc>
          <w:tcPr>
            <w:tcW w:w="906"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资助专项经费</w:t>
            </w:r>
          </w:p>
        </w:tc>
        <w:tc>
          <w:tcPr>
            <w:tcW w:w="907"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 w:type="dxa"/>
            <w:vAlign w:val="center"/>
          </w:tcPr>
          <w:p>
            <w:pPr>
              <w:pStyle w:val="11"/>
              <w:topLinePunct/>
              <w:spacing w:before="0" w:beforeAutospacing="0" w:after="0" w:afterAutospacing="0"/>
              <w:ind w:left="-110" w:leftChars="-50" w:right="-110" w:rightChars="-5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金额</w:t>
            </w:r>
            <w:r>
              <w:rPr>
                <w:rFonts w:asciiTheme="minorEastAsia" w:hAnsiTheme="minorEastAsia" w:eastAsiaTheme="minorEastAsia"/>
                <w:color w:val="000000" w:themeColor="text1"/>
                <w:sz w:val="21"/>
                <w:szCs w:val="21"/>
              </w:rPr>
              <w:br w:type="textWrapping"/>
            </w:r>
            <w:r>
              <w:rPr>
                <w:rFonts w:hint="eastAsia" w:asciiTheme="minorEastAsia" w:hAnsiTheme="minorEastAsia" w:eastAsiaTheme="minorEastAsia"/>
                <w:color w:val="000000" w:themeColor="text1"/>
                <w:sz w:val="21"/>
                <w:szCs w:val="21"/>
              </w:rPr>
              <w:t>（万元）</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2571.2</w:t>
            </w:r>
          </w:p>
        </w:tc>
        <w:tc>
          <w:tcPr>
            <w:tcW w:w="907"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753.05</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71.5</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636.65</w:t>
            </w:r>
          </w:p>
        </w:tc>
        <w:tc>
          <w:tcPr>
            <w:tcW w:w="907"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1790</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325.8</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370</w:t>
            </w:r>
          </w:p>
        </w:tc>
        <w:tc>
          <w:tcPr>
            <w:tcW w:w="907"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lang w:val="zh-CN"/>
              </w:rPr>
              <w:t>6518.2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6" w:type="dxa"/>
            <w:vAlign w:val="center"/>
          </w:tcPr>
          <w:p>
            <w:pPr>
              <w:pStyle w:val="11"/>
              <w:topLinePunct/>
              <w:spacing w:before="0" w:beforeAutospacing="0" w:after="0" w:afterAutospacing="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资助</w:t>
            </w:r>
            <w:r>
              <w:rPr>
                <w:rFonts w:asciiTheme="minorEastAsia" w:hAnsiTheme="minorEastAsia" w:eastAsiaTheme="minorEastAsia"/>
                <w:color w:val="000000" w:themeColor="text1"/>
                <w:sz w:val="21"/>
                <w:szCs w:val="21"/>
              </w:rPr>
              <w:br w:type="textWrapping"/>
            </w:r>
            <w:r>
              <w:rPr>
                <w:rFonts w:hint="eastAsia" w:asciiTheme="minorEastAsia" w:hAnsiTheme="minorEastAsia" w:eastAsiaTheme="minorEastAsia"/>
                <w:color w:val="000000" w:themeColor="text1"/>
                <w:sz w:val="21"/>
                <w:szCs w:val="21"/>
              </w:rPr>
              <w:t>人数</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8137</w:t>
            </w:r>
          </w:p>
        </w:tc>
        <w:tc>
          <w:tcPr>
            <w:tcW w:w="907"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5022</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143</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2057</w:t>
            </w:r>
          </w:p>
        </w:tc>
        <w:tc>
          <w:tcPr>
            <w:tcW w:w="907"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3044</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566</w:t>
            </w:r>
          </w:p>
        </w:tc>
        <w:tc>
          <w:tcPr>
            <w:tcW w:w="906"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2380</w:t>
            </w:r>
          </w:p>
        </w:tc>
        <w:tc>
          <w:tcPr>
            <w:tcW w:w="907" w:type="dxa"/>
            <w:vAlign w:val="center"/>
          </w:tcPr>
          <w:p>
            <w:pPr>
              <w:pStyle w:val="11"/>
              <w:topLinePunct/>
              <w:spacing w:before="0" w:beforeAutospacing="0" w:after="0" w:afterAutospacing="0"/>
              <w:jc w:val="both"/>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lang w:val="zh-CN"/>
              </w:rPr>
              <w:t>21349</w:t>
            </w:r>
          </w:p>
        </w:tc>
      </w:tr>
    </w:tbl>
    <w:p>
      <w:pPr>
        <w:pStyle w:val="4"/>
        <w:spacing w:before="72" w:after="72"/>
      </w:pPr>
      <w:r>
        <w:rPr>
          <w:rFonts w:hint="eastAsia"/>
        </w:rPr>
        <w:t>2.校舍状况</w:t>
      </w:r>
    </w:p>
    <w:p>
      <w:pPr>
        <w:pStyle w:val="11"/>
        <w:widowControl w:val="0"/>
        <w:topLinePunct/>
        <w:spacing w:before="0" w:beforeAutospacing="0" w:after="0" w:afterAutospacing="0"/>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占地面积3,735.7万平方米，其中校园占地面积376.9万平方米，校舍建筑面积102.72万平方米，校园布局和谐统一，绿化、美化、亮化成效显著，享有“生态园林式大学城”美誉。现有教学行政用房54.95万平方米，生均18.6平方米；教学实验用房</w:t>
      </w:r>
      <w:r>
        <w:rPr>
          <w:rFonts w:cs="仿宋_GB2312" w:asciiTheme="minorEastAsia" w:hAnsiTheme="minorEastAsia" w:eastAsiaTheme="minorEastAsia"/>
          <w:color w:val="000000" w:themeColor="text1"/>
        </w:rPr>
        <w:t>19.66</w:t>
      </w:r>
      <w:r>
        <w:rPr>
          <w:rFonts w:hint="eastAsia" w:cs="仿宋_GB2312" w:asciiTheme="minorEastAsia" w:hAnsiTheme="minorEastAsia" w:eastAsiaTheme="minorEastAsia"/>
          <w:color w:val="000000" w:themeColor="text1"/>
        </w:rPr>
        <w:t>万平方米，生均6.65平方米。</w:t>
      </w:r>
    </w:p>
    <w:p>
      <w:pPr>
        <w:pStyle w:val="11"/>
        <w:widowControl w:val="0"/>
        <w:topLinePunct/>
        <w:spacing w:before="0" w:beforeAutospacing="0" w:after="0" w:afterAutospacing="0"/>
        <w:ind w:firstLine="482" w:firstLineChars="200"/>
        <w:jc w:val="both"/>
        <w:rPr>
          <w:rFonts w:cs="Times New Roman" w:asciiTheme="minorEastAsia" w:hAnsiTheme="minorEastAsia" w:eastAsiaTheme="minorEastAsia"/>
          <w:bCs/>
          <w:color w:val="000000" w:themeColor="text1"/>
          <w:kern w:val="2"/>
          <w:sz w:val="21"/>
          <w:szCs w:val="21"/>
        </w:rPr>
      </w:pPr>
      <w:r>
        <w:rPr>
          <w:rFonts w:hint="eastAsia" w:ascii="仿宋_GB2312" w:eastAsia="仿宋_GB2312" w:cs="Times New Roman"/>
          <w:b/>
          <w:bCs/>
          <w:color w:val="000000" w:themeColor="text1"/>
          <w:kern w:val="2"/>
        </w:rPr>
        <w:t xml:space="preserve">                       </w:t>
      </w:r>
      <w:r>
        <w:rPr>
          <w:rFonts w:hint="eastAsia" w:cs="Times New Roman" w:asciiTheme="minorEastAsia" w:hAnsiTheme="minorEastAsia" w:eastAsiaTheme="minorEastAsia"/>
          <w:bCs/>
          <w:color w:val="000000" w:themeColor="text1"/>
          <w:kern w:val="2"/>
          <w:sz w:val="21"/>
          <w:szCs w:val="21"/>
        </w:rPr>
        <w:t xml:space="preserve"> 表3-2  教学行政用房面积</w:t>
      </w:r>
    </w:p>
    <w:tbl>
      <w:tblPr>
        <w:tblStyle w:val="12"/>
        <w:tblW w:w="5000" w:type="pct"/>
        <w:jc w:val="center"/>
        <w:tblLayout w:type="autofit"/>
        <w:tblCellMar>
          <w:top w:w="0" w:type="dxa"/>
          <w:left w:w="0" w:type="dxa"/>
          <w:bottom w:w="0" w:type="dxa"/>
          <w:right w:w="0" w:type="dxa"/>
        </w:tblCellMar>
      </w:tblPr>
      <w:tblGrid>
        <w:gridCol w:w="1077"/>
        <w:gridCol w:w="5232"/>
        <w:gridCol w:w="2565"/>
      </w:tblGrid>
      <w:tr>
        <w:tblPrEx>
          <w:tblCellMar>
            <w:top w:w="0" w:type="dxa"/>
            <w:left w:w="0" w:type="dxa"/>
            <w:bottom w:w="0" w:type="dxa"/>
            <w:right w:w="0" w:type="dxa"/>
          </w:tblCellMar>
        </w:tblPrEx>
        <w:trPr>
          <w:trHeight w:val="397" w:hRule="atLeast"/>
          <w:jc w:val="center"/>
        </w:trPr>
        <w:tc>
          <w:tcPr>
            <w:tcW w:w="3555" w:type="pct"/>
            <w:gridSpan w:val="2"/>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项  目</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面积</w:t>
            </w:r>
          </w:p>
        </w:tc>
      </w:tr>
      <w:tr>
        <w:tblPrEx>
          <w:tblCellMar>
            <w:top w:w="0" w:type="dxa"/>
            <w:left w:w="0" w:type="dxa"/>
            <w:bottom w:w="0" w:type="dxa"/>
            <w:right w:w="0" w:type="dxa"/>
          </w:tblCellMar>
        </w:tblPrEx>
        <w:trPr>
          <w:trHeight w:val="397" w:hRule="atLeast"/>
          <w:jc w:val="center"/>
        </w:trPr>
        <w:tc>
          <w:tcPr>
            <w:tcW w:w="607" w:type="pct"/>
            <w:vMerge w:val="restar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教学</w:t>
            </w:r>
          </w:p>
          <w:p>
            <w:pPr>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行政用房</w:t>
            </w: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总面积（平方米）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cs="宋体" w:asciiTheme="minorEastAsia" w:hAnsiTheme="minorEastAsia" w:eastAsiaTheme="minorEastAsia"/>
                <w:color w:val="000000" w:themeColor="text1"/>
                <w:sz w:val="21"/>
                <w:szCs w:val="21"/>
              </w:rPr>
              <w:t>549558</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教学科研及辅助用房（平方米）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cs="宋体" w:asciiTheme="minorEastAsia" w:hAnsiTheme="minorEastAsia" w:eastAsiaTheme="minorEastAsia"/>
                <w:color w:val="000000" w:themeColor="text1"/>
                <w:sz w:val="21"/>
                <w:szCs w:val="21"/>
              </w:rPr>
              <w:t>457998</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both"/>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 xml:space="preserve">  其中：       </w:t>
            </w:r>
            <w:r>
              <w:rPr>
                <w:rFonts w:hint="eastAsia" w:cs="宋体" w:asciiTheme="minorEastAsia" w:hAnsiTheme="minorEastAsia" w:eastAsiaTheme="minorEastAsia"/>
                <w:kern w:val="2"/>
                <w:sz w:val="21"/>
                <w:szCs w:val="21"/>
              </w:rPr>
              <w:t>教室（平方米）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sz w:val="21"/>
                <w:szCs w:val="21"/>
              </w:rPr>
              <w:t>88103</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图书馆（平方米）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sz w:val="21"/>
                <w:szCs w:val="21"/>
              </w:rPr>
              <w:t>32906</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实验室（平方米）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cs="宋体" w:asciiTheme="minorEastAsia" w:hAnsiTheme="minorEastAsia" w:eastAsiaTheme="minorEastAsia"/>
                <w:color w:val="000000" w:themeColor="text1"/>
                <w:sz w:val="21"/>
                <w:szCs w:val="21"/>
              </w:rPr>
              <w:t>196601</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专用科研用房（平方米）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cs="宋体" w:asciiTheme="minorEastAsia" w:hAnsiTheme="minorEastAsia" w:eastAsiaTheme="minorEastAsia"/>
                <w:color w:val="000000" w:themeColor="text1"/>
                <w:sz w:val="21"/>
                <w:szCs w:val="21"/>
              </w:rPr>
              <w:t>126655</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体育馆（平方米）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cs="宋体" w:asciiTheme="minorEastAsia" w:hAnsiTheme="minorEastAsia" w:eastAsiaTheme="minorEastAsia"/>
                <w:color w:val="000000" w:themeColor="text1"/>
                <w:sz w:val="21"/>
                <w:szCs w:val="21"/>
              </w:rPr>
              <w:t>10519</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会堂（平方米）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cs="宋体" w:asciiTheme="minorEastAsia" w:hAnsiTheme="minorEastAsia" w:eastAsiaTheme="minorEastAsia"/>
                <w:color w:val="000000" w:themeColor="text1"/>
                <w:sz w:val="21"/>
                <w:szCs w:val="21"/>
              </w:rPr>
              <w:t>3204</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行政用房（平方米）</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tcPr>
          <w:p>
            <w:pPr>
              <w:widowControl w:val="0"/>
              <w:spacing w:beforeLines="50"/>
              <w:ind w:firstLine="420" w:firstLineChars="200"/>
              <w:jc w:val="center"/>
              <w:rPr>
                <w:rFonts w:cs="宋体" w:asciiTheme="minorEastAsia" w:hAnsiTheme="minorEastAsia" w:eastAsiaTheme="minorEastAsia"/>
                <w:color w:val="000000" w:themeColor="text1"/>
                <w:kern w:val="2"/>
                <w:sz w:val="21"/>
                <w:szCs w:val="21"/>
              </w:rPr>
            </w:pPr>
            <w:r>
              <w:rPr>
                <w:rFonts w:cs="宋体" w:asciiTheme="minorEastAsia" w:hAnsiTheme="minorEastAsia" w:eastAsiaTheme="minorEastAsia"/>
                <w:color w:val="000000" w:themeColor="text1"/>
                <w:sz w:val="21"/>
                <w:szCs w:val="21"/>
              </w:rPr>
              <w:t>91560</w:t>
            </w:r>
          </w:p>
        </w:tc>
      </w:tr>
      <w:tr>
        <w:tblPrEx>
          <w:tblCellMar>
            <w:top w:w="0" w:type="dxa"/>
            <w:left w:w="0" w:type="dxa"/>
            <w:bottom w:w="0" w:type="dxa"/>
            <w:right w:w="0" w:type="dxa"/>
          </w:tblCellMar>
        </w:tblPrEx>
        <w:trPr>
          <w:trHeight w:val="397" w:hRule="atLeast"/>
          <w:jc w:val="center"/>
        </w:trPr>
        <w:tc>
          <w:tcPr>
            <w:tcW w:w="607" w:type="pct"/>
            <w:vMerge w:val="continue"/>
            <w:tcBorders>
              <w:top w:val="single" w:color="000000" w:sz="6" w:space="0"/>
              <w:left w:val="single" w:color="000000" w:sz="6" w:space="0"/>
              <w:bottom w:val="single" w:color="000000" w:sz="6" w:space="0"/>
              <w:right w:val="single" w:color="000000" w:sz="6" w:space="0"/>
            </w:tcBorders>
            <w:vAlign w:val="center"/>
          </w:tcPr>
          <w:p>
            <w:pPr>
              <w:ind w:firstLine="420" w:firstLineChars="200"/>
              <w:jc w:val="center"/>
              <w:rPr>
                <w:rFonts w:asciiTheme="minorEastAsia" w:hAnsiTheme="minorEastAsia" w:eastAsiaTheme="minorEastAsia"/>
                <w:color w:val="000000" w:themeColor="text1"/>
                <w:sz w:val="21"/>
                <w:szCs w:val="21"/>
              </w:rPr>
            </w:pPr>
          </w:p>
        </w:tc>
        <w:tc>
          <w:tcPr>
            <w:tcW w:w="2948"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both"/>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生均教学行政用房面积（平方米/生）</w:t>
            </w:r>
          </w:p>
        </w:tc>
        <w:tc>
          <w:tcPr>
            <w:tcW w:w="1445" w:type="pct"/>
            <w:tcBorders>
              <w:top w:val="single" w:color="000000" w:sz="6" w:space="0"/>
              <w:left w:val="single" w:color="000000" w:sz="6" w:space="0"/>
              <w:bottom w:val="single" w:color="000000" w:sz="6" w:space="0"/>
              <w:right w:val="single" w:color="000000" w:sz="6" w:space="0"/>
            </w:tcBorders>
            <w:tcMar>
              <w:left w:w="72" w:type="dxa"/>
              <w:right w:w="72" w:type="dxa"/>
            </w:tcMar>
            <w:vAlign w:val="center"/>
          </w:tcPr>
          <w:p>
            <w:pPr>
              <w:ind w:firstLine="420" w:firstLineChars="200"/>
              <w:jc w:val="center"/>
              <w:rPr>
                <w:rFonts w:cs="宋体"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18.6</w:t>
            </w:r>
          </w:p>
        </w:tc>
      </w:tr>
    </w:tbl>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学校有普通教室、多媒体教室、语音网络教室、画室、制图室、研讨室等424间，总面积8.81万㎡。座位数</w:t>
      </w:r>
      <w:r>
        <w:rPr>
          <w:rFonts w:hint="eastAsia" w:cs="仿宋_GB2312" w:asciiTheme="minorEastAsia" w:hAnsiTheme="minorEastAsia" w:eastAsiaTheme="minorEastAsia"/>
          <w:color w:val="000000" w:themeColor="text1"/>
          <w:kern w:val="2"/>
        </w:rPr>
        <w:t>39，396个，其中</w:t>
      </w:r>
      <w:r>
        <w:rPr>
          <w:rFonts w:hint="eastAsia" w:cs="仿宋_GB2312" w:asciiTheme="minorEastAsia" w:hAnsiTheme="minorEastAsia" w:eastAsiaTheme="minorEastAsia"/>
          <w:color w:val="000000" w:themeColor="text1"/>
        </w:rPr>
        <w:t>，多媒体教室和语音室座位数30,758个，占78.74%。百名学生配备多媒体教室和语音室座位数104个，满足了教学的基本需要。为适应信息化教学需要，分批次完成建设多媒体教室280间，建设高清录播教室4间、标清录播教室3间、录播会议室3间，极大改善了人才培养基础条件。</w:t>
      </w:r>
    </w:p>
    <w:p>
      <w:pPr>
        <w:pStyle w:val="4"/>
        <w:spacing w:before="72" w:after="72"/>
      </w:pPr>
      <w:r>
        <w:rPr>
          <w:rFonts w:hint="eastAsia"/>
        </w:rPr>
        <w:t>3.教学仪器设备</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2014年，学校教学科研仪器设备总值约84,634.55万元，生均2.38万元；当年新增教学科研仪器设备值4,886.92万元，增长5.77%。教学用计算机8,366台，百名学生配备教学用计算机28.31台。</w:t>
      </w:r>
    </w:p>
    <w:p>
      <w:pPr>
        <w:pStyle w:val="4"/>
        <w:spacing w:before="72" w:after="72"/>
      </w:pPr>
      <w:r>
        <w:rPr>
          <w:rFonts w:hint="eastAsia"/>
        </w:rPr>
        <w:t>4.实验室与实践教学基地</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有国家级实验教学示范中心3个，国家级虚拟仿真实验教学中心1个，国家级大学生校外实践教育基地2个。先后投资2.8亿元构建了“校内、杨凌区内、区外”三位一体的实践教学平台。在校内建设了植物生产园区、动物医院、动物生产园区、工程训练中心、畜禽养殖场、食品加工生产线、生物工程中心、植物工厂等本科教学实验、实习场所73个，完全满足教学活动需求。在杨凌区内与31个企业合作建立实践教学基地；在杨凌区外分层次、分区域，按专业特点建立校企合作基地233个。</w:t>
      </w:r>
    </w:p>
    <w:p>
      <w:pPr>
        <w:pStyle w:val="4"/>
        <w:spacing w:before="72" w:after="72"/>
      </w:pPr>
      <w:r>
        <w:rPr>
          <w:rFonts w:hint="eastAsia"/>
        </w:rPr>
        <w:t>5.运动场所</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b/>
          <w:bCs/>
          <w:color w:val="000000" w:themeColor="text1"/>
        </w:rPr>
      </w:pPr>
      <w:r>
        <w:rPr>
          <w:rFonts w:hint="eastAsia" w:cs="仿宋_GB2312" w:asciiTheme="minorEastAsia" w:hAnsiTheme="minorEastAsia" w:eastAsiaTheme="minorEastAsia"/>
          <w:color w:val="000000" w:themeColor="text1"/>
        </w:rPr>
        <w:t>学校各类体育场馆设施齐全，开放程度和利用率高。现有400米标准塑胶田径场2个，体育馆1个，小球馆1个，篮球馆1个，篮球场45个，排球场17个，标准足球场6个（其中5人制足球场4个），羽毛球场47个，网球场21个等。能够满足本科教学、高水平运动队训练、学生课外体育锻炼和体育竞赛的需求。</w:t>
      </w:r>
    </w:p>
    <w:p>
      <w:pPr>
        <w:pStyle w:val="4"/>
        <w:spacing w:before="72" w:after="72"/>
      </w:pPr>
      <w:r>
        <w:rPr>
          <w:rFonts w:hint="eastAsia"/>
        </w:rPr>
        <w:t>6.图书资源建设与利用</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图书馆建筑面积3.21万平方米，有阅览座位数2,964个，是教育部科技查新工作站之一。截止2014年底，馆藏纸质文献236.34万余册，其中纸质图书183.25万册（外文图书18.61万册），生均图书70册。中文全文电子期刊1.16万种，外文全文电子期刊0.63万种；中外文电子图书175.8万种。其中当年用于购置文献资料经费达1,402.79万元，新增纸质图书5.06万册，电子图书84.42万册，生均年进书量2册。年均接待读者157.05万人次，借出量48.63万册次左右，纸质图书利用率76.3%；中外文数据库133个，月均检索176.8万次，数字资源下载量1,250.55万篇。</w:t>
      </w:r>
    </w:p>
    <w:p>
      <w:pPr>
        <w:pStyle w:val="4"/>
        <w:spacing w:before="72" w:after="72"/>
      </w:pPr>
      <w:r>
        <w:rPr>
          <w:rFonts w:hint="eastAsia"/>
        </w:rPr>
        <w:t>7.数字化资源建设</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学校建有“教学资源中心”平台，包括国家精品课程6,729条，全球开放课程4,076条、精品视频公开课451条、MOOC课程297条、微课程489条和学校自主开发的资源3,000多条。通过征订、引进、购买、交换等方式建立了“超星学术视频”、新东方多媒体学习库、启明真题在线考试数据库、国道数据库等专业教学数据库40多个。搭建了云计算服务平台、IPv6基础应用、远程移动办公云服务等平台，主干超过10G，出口总带宽4.2G，有数字资源70TB，各类核心设备超过百台。校园网覆盖所有学生宿舍以及教学科研办公区，开通无线网AP热点1,200多个，较好地满足了本科教学需要。</w:t>
      </w:r>
    </w:p>
    <w:p>
      <w:pPr>
        <w:pStyle w:val="2"/>
        <w:spacing w:before="180" w:after="180"/>
      </w:pPr>
      <w:bookmarkStart w:id="9" w:name="_Toc437350055"/>
      <w:bookmarkStart w:id="10" w:name="_Toc438192355"/>
      <w:r>
        <w:rPr>
          <w:rFonts w:hint="eastAsia"/>
        </w:rPr>
        <w:t>四、教学建设与改革</w:t>
      </w:r>
      <w:bookmarkEnd w:id="9"/>
      <w:bookmarkEnd w:id="10"/>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学校坚持立德树人，不断加强教学基本建设，深化教育教学改革，提升本科人才培养质量。</w:t>
      </w:r>
    </w:p>
    <w:p>
      <w:pPr>
        <w:pStyle w:val="3"/>
        <w:spacing w:before="72" w:after="72"/>
      </w:pPr>
      <w:bookmarkStart w:id="11" w:name="_Toc437350056"/>
      <w:bookmarkStart w:id="12" w:name="_Toc438192356"/>
      <w:r>
        <w:rPr>
          <w:rFonts w:hint="eastAsia"/>
        </w:rPr>
        <w:t>（一）全面完成2014版本科人才培养方案的修订</w:t>
      </w:r>
      <w:bookmarkEnd w:id="11"/>
      <w:bookmarkEnd w:id="12"/>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以立德树人为根本任务，根据建设世界一流农业大学的战略定位和培养卓越人才的目标要求，加强人才培养方案的修订和完善，印发了《关于修订本科人才培养方案的指导意见》（校教发〔2014〕8号），全面完成2014版本科人才培养方案的修订。</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新的人才培养方案从2014年秋季开始执行。新方案体现了新的育人理念和特点：一是注重学生知识、能力、素质全面发展，按理、工、农、经管、文法等学科大类设置通识平台课和学科大类平台课，对低年级学生实施大类培养；二是在后续课程的设置上，根据人才培养目标定位和学生就业、创业、升学、留学等个性化发展需求，设置不同模块化课程平台，对高年级学生实施分类培养；三是将选修课比例增加至30%，实践环节学分比例提高到30%以上，要求不同学科的学生交叉选课不少于8学分；四是实施学业导师制，引导学生科研训练三年不断线；五是增设了新生研讨课。新生研讨课采用小班教学，强调师生互动，倡导研讨式、启发式、探究式教学。</w:t>
      </w:r>
    </w:p>
    <w:p>
      <w:pPr>
        <w:pStyle w:val="3"/>
        <w:spacing w:before="72" w:after="72"/>
      </w:pPr>
      <w:bookmarkStart w:id="13" w:name="_Toc437350057"/>
      <w:bookmarkStart w:id="14" w:name="_Toc438192357"/>
      <w:r>
        <w:rPr>
          <w:rFonts w:hint="eastAsia"/>
        </w:rPr>
        <w:t>（二）思想政治教育成效显著</w:t>
      </w:r>
      <w:bookmarkEnd w:id="13"/>
      <w:bookmarkEnd w:id="14"/>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2014年，学校紧紧围绕立德树人的根本任务，坚持全心全意为学生成长成才服务，积极探寻思想政治教育的内在规律，确保了思想政治教育中体现特色、突出重点、取得实效。</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充分发挥思政课教学的主渠道作用。学校通过开展思政课教学状况调查、思政课社会实践教学效果调查、思政课与大学生理想信念养成关系调查，从问题导向出发开展思政课的教育教学改革，提高教育教学的有效性。利用第二课堂，积极开展思想政治教育活动。深化中国特色社会主义和“中国梦”宣传教育，组织开展“我的中国梦”等主题教育活动35场次；组织学生开展党的十八届四中全会学习教育宣讲活动20场；组织学生参加学校举办的爱国主义、传统文化报告，激励学生奋发学习。强化网络思想政治教育工作。不断完善“成长导航——西北农林科技大学辅导员博客网”，开通“知行西农”微信平台。起草了《学生社区iHome活动室管理办法》《学生党员服务队岗位职责》，进一步规范学生社区党团活动室的建设与管理。重视实践育人作用发挥。组织153支社会实践服务队，参与师生人数1,400余人；组织28支校级重点团队赴学校试验示范基地开展实践活动；选聘165名同学担任大学生村主任助理，1,460名本科生、研究生担任“田园使者”。</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2014年，思政教育成效显著。“蜂巢教室”成为全国高校辅导员工作精品项目；学校也被列为“陕西高等学校辅导员队伍建设先进单位”；学校已连续23                                                                                                                                                                                                                                                          年被中宣部、教育部、团中央等单位授予“全国社会实践活动先进单位”荣誉称号。</w:t>
      </w:r>
    </w:p>
    <w:p>
      <w:pPr>
        <w:pStyle w:val="3"/>
        <w:spacing w:before="72" w:after="72"/>
      </w:pPr>
      <w:bookmarkStart w:id="15" w:name="_Toc437350058"/>
      <w:bookmarkStart w:id="16" w:name="_Toc438192358"/>
      <w:r>
        <w:rPr>
          <w:rFonts w:hint="eastAsia"/>
        </w:rPr>
        <w:t>（三）人才培养模式创新取得新突破</w:t>
      </w:r>
      <w:bookmarkEnd w:id="15"/>
      <w:bookmarkEnd w:id="16"/>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学校积极服务国家需求，根据现代农业对人才的要求及学生个性化发展需求，深化教育教学改革</w:t>
      </w:r>
      <w:r>
        <w:rPr>
          <w:rFonts w:hint="eastAsia" w:asciiTheme="minorEastAsia" w:hAnsiTheme="minorEastAsia" w:eastAsiaTheme="minorEastAsia"/>
          <w:sz w:val="24"/>
          <w:szCs w:val="24"/>
        </w:rPr>
        <w:t>，</w:t>
      </w:r>
      <w:r>
        <w:rPr>
          <w:rFonts w:hint="eastAsia" w:cs="仿宋_GB2312" w:asciiTheme="minorEastAsia" w:hAnsiTheme="minorEastAsia" w:eastAsiaTheme="minorEastAsia"/>
          <w:color w:val="000000" w:themeColor="text1"/>
          <w:sz w:val="24"/>
          <w:szCs w:val="24"/>
        </w:rPr>
        <w:t>逐渐走出一条成功的“农林模式”。</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拔尖创新人才培养模式取得新突破。依托国家级创新人才培养改革实验区，按照“汇集优秀生源、整合优质资源、着力模式改革”的思路，深入推进拔尖创新人才培养探索，“农科类拔尖创新人才培养的探索与实践”项目获国家教学成果二等奖。</w:t>
      </w:r>
    </w:p>
    <w:p>
      <w:pPr>
        <w:spacing w:line="400" w:lineRule="exact"/>
        <w:ind w:firstLine="480" w:firstLineChars="200"/>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第二课堂教育试点取得新成效。2014年，学校成立右任书院，积极探索书院制度下的德育教育模式。书院以立德坊、右任励志坊、国学讲堂、女性书屋、志趣联盟、形体礼仪训练访等为依托，从理想信念、气质修养、科技创新、公民意识等多维度着力，促进学生素质全面发展，开创书院制度下农林卓越人才培养新格局。</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卓越农林人才教育培养探索新机制。2014年，学校成功进入首批国家级“卓越农林人才教育培养计划”试点院校序列，在植物保护、农林经济管理、动物科学、林学等四个专业开展拔尖类人才培养改革试点；在农学、设施农业科学与工程、农业机械化及其自动化、动物医学等四个专业开展复合类人才培养改革试点，系统探索卓越人才培养新机制。</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目前，学校有国家级生命科学与技术人才培养基地1个，国家级“卓越农林人才教育培养计划”改革试点项目2个，国家级人才培养模式创新实验区3个，省级人才培养模式创新实验区6个。</w:t>
      </w:r>
    </w:p>
    <w:p>
      <w:pPr>
        <w:pStyle w:val="3"/>
        <w:spacing w:before="72" w:after="72"/>
      </w:pPr>
      <w:bookmarkStart w:id="17" w:name="_Toc437350059"/>
      <w:bookmarkStart w:id="18" w:name="_Toc438192359"/>
      <w:r>
        <w:rPr>
          <w:rFonts w:hint="eastAsia"/>
        </w:rPr>
        <w:t>（四）教学基本建设取得新进展</w:t>
      </w:r>
      <w:bookmarkEnd w:id="17"/>
      <w:bookmarkEnd w:id="18"/>
    </w:p>
    <w:p>
      <w:pPr>
        <w:pStyle w:val="4"/>
        <w:spacing w:before="72" w:after="72"/>
      </w:pPr>
      <w:r>
        <w:rPr>
          <w:rFonts w:hint="eastAsia"/>
        </w:rPr>
        <w:t>1.专业建设</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学校遵循“扬优、支重、改老、扶新”的原则，不断优化专业结构。2014年，根据学科发展需要，将木材科学与工程等专业按照学科布局调整到林学院；新成立了风景园林艺术学院；积极申报新增植物医学专业。</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继续实施专业综合改革试点。率先在全省高校启动专业综合改革项目，2014年累计立项建设19个专业，新增环境科学、动物医学和食品质量与安全、农业机械化及其自动化等四个省级专业综合改革试点，水文与水资源工程、农业水利工程两个专业通过了中国工程教育专业认证。</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65个本科专业中，有国家级特色专业建设点12个，占专业总数的18.46%；陕西省名牌专业、特色专业和专业综合改革试点的专业27个,占专业总数的41.54%。在武汉大学中国科学评价研究中心发布的《2014年中国大学本科教育分专业竞争力排行榜》中，有24个专业入围，其中五星级专业3个，四星级专业18个，三星级专业3个，占专业总数的36.92%。</w:t>
      </w:r>
    </w:p>
    <w:p>
      <w:pPr>
        <w:pStyle w:val="4"/>
        <w:spacing w:before="72" w:after="72"/>
      </w:pPr>
      <w:r>
        <w:rPr>
          <w:rFonts w:hint="eastAsia"/>
        </w:rPr>
        <w:t>2.课程建设</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学校充分发挥精品课程建设的示范作用，不断推进课程建设，努力提升教学质量。</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重构课程体系。按照通识教育基础上的宽口径专业教育定位，建设通识教育核心课程，开设新生研讨课，明晰专业主干课程，设置个性发展课程。</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加强课程建设。实施“通识类课程建设计划、基础课程提升计划和专业核心课程建设计划”，以专项建设支持项目的形式提高本科课程资源质量与水平。2014年立项建设本科优质课程34门，立项建设全英文课程10门；启动了“MOOC课”建设工作，《动物营养与人类健康》和《普通昆虫学》2门课程已完成录制。截止2014年底，有国家级精品课程12门，国家级精品视频公开课4门，国家级精品资源共享课8门，国家级双语示范课程1门；省级精品课程50门，省级精品资源共享课50门。</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拓展课程资源。2014年，新增公共选修课10门，购入尔雅网络通识课程34门。完善《秦岭生态与文明》课程内容，在全国率先以课程形式对非农科专业学生实施生态文明教育。</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制定课程质量标准。学校发布了《课程质量标准》指导意见，编制完成266门本科课程质量标准。</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推进课程信息化。学校充分利用现代教育技术和信息技术手段，实施“千门课程上网工程”。目前，1,500余门课程完成了数字化资源建设，有效运用于课程课堂总数1000多个。</w:t>
      </w:r>
    </w:p>
    <w:p>
      <w:pPr>
        <w:pStyle w:val="4"/>
        <w:spacing w:before="72" w:after="72"/>
      </w:pPr>
      <w:r>
        <w:rPr>
          <w:rFonts w:hint="eastAsia"/>
        </w:rPr>
        <w:t>3.教材建设</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重点做好教材的编写与选用工作，积极组织教师申报各级各类优质教材编写。2014年，我校教师为第一主编公开出版教材18部，其中傅建熙主编的《有机化学——结构和性质相关分析与功能（第三版）》；王俊儒等主编的《有机化学实验》；呼世斌等主编的《无机及分析化学（第三版）》；廖允成等主编的《农业生态学》；程智慧主编的《蔬菜栽培学总论》、《蔬菜栽培学各论》等4种教材入选国家级规划教材；樊明涛等主编的《食品微生物学》、傅强等主编的《大学体育》、吕宏兴等主编的《水力学（第2版）》、陈铁山等主编的《普通生物学实践教程》等4种教材被列入全国农业教育优秀教材资助项目。</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学校坚持“优先选用国内外优秀教材”的原则，积极鼓励广大教师选用国内外原版优秀教材、教育部推荐教材。本年度选用的教材中，国家级规划教材、近三年出版的教材等约占总数的85%。</w:t>
      </w:r>
    </w:p>
    <w:p>
      <w:pPr>
        <w:pStyle w:val="4"/>
        <w:spacing w:before="72" w:after="72"/>
      </w:pPr>
      <w:r>
        <w:rPr>
          <w:rFonts w:hint="eastAsia"/>
        </w:rPr>
        <w:t>4.实验室建设</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学校按照“突出重点、分步建设”的原则，持续投入，逐步优化本科专业实验室基本条件。</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2014年，学校共投入本科实验室建设专项经费2,770万元，用于对农科楼及食品楼中央纯水系统建设、昆虫标本室标本柜补充、园艺教学实验室实验台购置及仪器设备更新与补充、农业资源与环境科学实验教学示范中心仪器设备更新与补充、植保学院教学实验室仪器设备更新与补充、葡萄与葡萄酒工程教学实验平台建设、食品学院教学实验室设备购置、园林及艺术专业实训大厅建设，促进实践教学质量提升。“植物保护虚拟仿真实验教学中心”入选国家级虚拟仿真实验教学中心。“葡萄与葡萄酒工程实验教学中心”获批陕西省实验教学示范中心。目前，有国家级实验教学示范中心3个，国家级虚拟仿真实验教学中心1个，省级实验教学示范中心12个。</w:t>
      </w:r>
    </w:p>
    <w:p>
      <w:pPr>
        <w:pStyle w:val="3"/>
        <w:spacing w:before="72" w:after="72"/>
      </w:pPr>
      <w:bookmarkStart w:id="19" w:name="_Toc437350060"/>
      <w:bookmarkStart w:id="20" w:name="_Toc438192360"/>
      <w:r>
        <w:rPr>
          <w:rFonts w:hint="eastAsia"/>
        </w:rPr>
        <w:t>（五）持续推进教育教学改革</w:t>
      </w:r>
      <w:bookmarkEnd w:id="19"/>
      <w:bookmarkEnd w:id="20"/>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学校坚持立德树人，以人才培养为根本，全面贯彻学校《关于进一步深化教育教学改革提高本科人才培养质量的意见》精神，深入开展教育教学改革，促进教学质量持续提升。</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完善与政府、行业协同培养人才的体制机制。信息学院、动科学院试点将企业项目搬进校园的院企联合集中实践教学新模式；人文学院试行与公检法系统联合办学，聘请多名高学历的法官和检察官担任学院法律实务兼职教师，邀请陕西省高院、高检及相关地区中院的高级法官、律师进校园举办司法讲坛；机电学院试行毕业论文双导师制度，聘请相关企业人员共同担任毕业论文指导教师。</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顺应高校招生制度改革，调整招生模式。2014年，出台了《本科生大类招生、培养专业分流指导意见》，实施本科专业大类招生培养的模式，对8个专业分3个类别实行大类招生，分别为</w:t>
      </w:r>
      <w:r>
        <w:fldChar w:fldCharType="begin"/>
      </w:r>
      <w:r>
        <w:instrText xml:space="preserve"> HYPERLINK "http://zhshw.nwsuaf.edu.cn/show.php?articleid=92" </w:instrText>
      </w:r>
      <w:r>
        <w:fldChar w:fldCharType="separate"/>
      </w:r>
      <w:r>
        <w:rPr>
          <w:rFonts w:hint="eastAsia" w:cs="仿宋_GB2312" w:asciiTheme="minorEastAsia" w:hAnsiTheme="minorEastAsia" w:eastAsiaTheme="minorEastAsia"/>
          <w:color w:val="000000" w:themeColor="text1"/>
        </w:rPr>
        <w:t>农学</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（含</w:t>
      </w:r>
      <w:r>
        <w:fldChar w:fldCharType="begin"/>
      </w:r>
      <w:r>
        <w:instrText xml:space="preserve"> HYPERLINK "http://zhshw.nwsuaf.edu.cn/show.php?articleid=92" </w:instrText>
      </w:r>
      <w:r>
        <w:fldChar w:fldCharType="separate"/>
      </w:r>
      <w:r>
        <w:rPr>
          <w:rFonts w:hint="eastAsia" w:cs="仿宋_GB2312" w:asciiTheme="minorEastAsia" w:hAnsiTheme="minorEastAsia" w:eastAsiaTheme="minorEastAsia"/>
          <w:color w:val="000000" w:themeColor="text1"/>
        </w:rPr>
        <w:t>农学</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fldChar w:fldCharType="begin"/>
      </w:r>
      <w:r>
        <w:instrText xml:space="preserve"> HYPERLINK "http://zhshw.nwsuaf.edu.cn/show.php?articleid=62" </w:instrText>
      </w:r>
      <w:r>
        <w:fldChar w:fldCharType="separate"/>
      </w:r>
      <w:r>
        <w:rPr>
          <w:rFonts w:hint="eastAsia" w:cs="仿宋_GB2312" w:asciiTheme="minorEastAsia" w:hAnsiTheme="minorEastAsia" w:eastAsiaTheme="minorEastAsia"/>
          <w:color w:val="000000" w:themeColor="text1"/>
        </w:rPr>
        <w:t>植物科学与技术</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fldChar w:fldCharType="begin"/>
      </w:r>
      <w:r>
        <w:instrText xml:space="preserve"> HYPERLINK "http://zhshw.nwsuaf.edu.cn/show.php?articleid=91" </w:instrText>
      </w:r>
      <w:r>
        <w:fldChar w:fldCharType="separate"/>
      </w:r>
      <w:r>
        <w:rPr>
          <w:rFonts w:hint="eastAsia" w:cs="仿宋_GB2312" w:asciiTheme="minorEastAsia" w:hAnsiTheme="minorEastAsia" w:eastAsiaTheme="minorEastAsia"/>
          <w:color w:val="000000" w:themeColor="text1"/>
        </w:rPr>
        <w:t>种子科学与工程</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fldChar w:fldCharType="begin"/>
      </w:r>
      <w:r>
        <w:instrText xml:space="preserve"> HYPERLINK "http://zhshw.nwsuaf.edu.cn/show.php?articleid=45" </w:instrText>
      </w:r>
      <w:r>
        <w:fldChar w:fldCharType="separate"/>
      </w:r>
      <w:r>
        <w:rPr>
          <w:rFonts w:hint="eastAsia" w:cs="仿宋_GB2312" w:asciiTheme="minorEastAsia" w:hAnsiTheme="minorEastAsia" w:eastAsiaTheme="minorEastAsia"/>
          <w:color w:val="000000" w:themeColor="text1"/>
        </w:rPr>
        <w:t>食品科学与工程</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类（含</w:t>
      </w:r>
      <w:r>
        <w:fldChar w:fldCharType="begin"/>
      </w:r>
      <w:r>
        <w:instrText xml:space="preserve"> HYPERLINK "http://zhshw.nwsuaf.edu.cn/show.php?articleid=45" </w:instrText>
      </w:r>
      <w:r>
        <w:fldChar w:fldCharType="separate"/>
      </w:r>
      <w:r>
        <w:rPr>
          <w:rFonts w:hint="eastAsia" w:cs="仿宋_GB2312" w:asciiTheme="minorEastAsia" w:hAnsiTheme="minorEastAsia" w:eastAsiaTheme="minorEastAsia"/>
          <w:color w:val="000000" w:themeColor="text1"/>
        </w:rPr>
        <w:t>食品科学与工程</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fldChar w:fldCharType="begin"/>
      </w:r>
      <w:r>
        <w:instrText xml:space="preserve"> HYPERLINK "http://zhshw.nwsuaf.edu.cn/show.php?articleid=75" </w:instrText>
      </w:r>
      <w:r>
        <w:fldChar w:fldCharType="separate"/>
      </w:r>
      <w:r>
        <w:rPr>
          <w:rFonts w:hint="eastAsia" w:cs="仿宋_GB2312" w:asciiTheme="minorEastAsia" w:hAnsiTheme="minorEastAsia" w:eastAsiaTheme="minorEastAsia"/>
          <w:color w:val="000000" w:themeColor="text1"/>
        </w:rPr>
        <w:t>食品质量与安全</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fldChar w:fldCharType="begin"/>
      </w:r>
      <w:r>
        <w:instrText xml:space="preserve"> HYPERLINK "http://zhshw.nwsuaf.edu.cn/show.php?articleid=58" </w:instrText>
      </w:r>
      <w:r>
        <w:fldChar w:fldCharType="separate"/>
      </w:r>
      <w:r>
        <w:rPr>
          <w:rFonts w:hint="eastAsia" w:cs="仿宋_GB2312" w:asciiTheme="minorEastAsia" w:hAnsiTheme="minorEastAsia" w:eastAsiaTheme="minorEastAsia"/>
          <w:color w:val="000000" w:themeColor="text1"/>
        </w:rPr>
        <w:t>生物科学</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类（含</w:t>
      </w:r>
      <w:r>
        <w:fldChar w:fldCharType="begin"/>
      </w:r>
      <w:r>
        <w:instrText xml:space="preserve"> HYPERLINK "http://zhshw.nwsuaf.edu.cn/show.php?articleid=72" </w:instrText>
      </w:r>
      <w:r>
        <w:fldChar w:fldCharType="separate"/>
      </w:r>
      <w:r>
        <w:rPr>
          <w:rFonts w:hint="eastAsia" w:cs="仿宋_GB2312" w:asciiTheme="minorEastAsia" w:hAnsiTheme="minorEastAsia" w:eastAsiaTheme="minorEastAsia"/>
          <w:color w:val="000000" w:themeColor="text1"/>
        </w:rPr>
        <w:t>生物技术</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fldChar w:fldCharType="begin"/>
      </w:r>
      <w:r>
        <w:instrText xml:space="preserve"> HYPERLINK "http://zhshw.nwsuaf.edu.cn/show.php?articleid=73" </w:instrText>
      </w:r>
      <w:r>
        <w:fldChar w:fldCharType="separate"/>
      </w:r>
      <w:r>
        <w:rPr>
          <w:rFonts w:hint="eastAsia" w:cs="仿宋_GB2312" w:asciiTheme="minorEastAsia" w:hAnsiTheme="minorEastAsia" w:eastAsiaTheme="minorEastAsia"/>
          <w:color w:val="000000" w:themeColor="text1"/>
        </w:rPr>
        <w:t>生物工程</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r>
        <w:fldChar w:fldCharType="begin"/>
      </w:r>
      <w:r>
        <w:instrText xml:space="preserve"> HYPERLINK "http://zhshw.nwsuaf.edu.cn/show.php?articleid=58" </w:instrText>
      </w:r>
      <w:r>
        <w:fldChar w:fldCharType="separate"/>
      </w:r>
      <w:r>
        <w:rPr>
          <w:rFonts w:hint="eastAsia" w:cs="仿宋_GB2312" w:asciiTheme="minorEastAsia" w:hAnsiTheme="minorEastAsia" w:eastAsiaTheme="minorEastAsia"/>
          <w:color w:val="000000" w:themeColor="text1"/>
        </w:rPr>
        <w:t>生物科学</w:t>
      </w:r>
      <w:r>
        <w:rPr>
          <w:rFonts w:hint="eastAsia" w:cs="仿宋_GB2312" w:asciiTheme="minorEastAsia" w:hAnsiTheme="minorEastAsia" w:eastAsiaTheme="minorEastAsia"/>
          <w:color w:val="000000" w:themeColor="text1"/>
        </w:rPr>
        <w:fldChar w:fldCharType="end"/>
      </w:r>
      <w:r>
        <w:rPr>
          <w:rFonts w:hint="eastAsia" w:cs="仿宋_GB2312" w:asciiTheme="minorEastAsia" w:hAnsiTheme="minorEastAsia" w:eastAsiaTheme="minorEastAsia"/>
          <w:color w:val="000000" w:themeColor="text1"/>
        </w:rPr>
        <w:t>）。</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实施转专业和学术特长生免试攻读硕士学位两项制度改革。除英语、环境艺术专业外，取消转专业报名门槛，2014年共接收转专业学生532人，占当年入学人数的10.06%；对有学术特长的学生在推荐免试攻读硕士学位时，单独设立推荐指标，有10名学生获得推荐资格。</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加强教学方法和教学手段的改革。在教改项目立项和教师教学质量综合评价中，将教学方法改革作为重要指标，鼓励教师进行教学方法和教学手段的革新。2014年，对体育课实施俱乐部制教学，努力拓展体育课的时间和空间。通过主题式的社会调查方式，革新授课方式，将思想政治理论课建设与社会实践教学等有机结合；紧紧把握互联网和教育融合不断深化的趋势，将“MOOC课”教学法、“翻转课堂”教学法、“微课”教学法引入到教育教学实践中。</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探索推行小班授课。2013-2014学年，全校开设课程1,604门，其中专业课1,245门，公共必修课87门，公共选修课272门，累计开设5,411门次。为保证课堂授课质量，学校积极推行小班授课，全校60人及以下的教学班占63.75%，30人及以下的教学班占23.18%，平均教学班规模为60.7人。对一些选课人数多的课程，采用“大班授课结合小班研讨”、课程助教制等方式深化课堂教学改革，加强师生互动，推进探究性学习。</w:t>
      </w:r>
    </w:p>
    <w:p>
      <w:pPr>
        <w:pStyle w:val="11"/>
        <w:widowControl w:val="0"/>
        <w:topLinePunct/>
        <w:spacing w:beforeLines="50" w:beforeAutospacing="0" w:afterLines="50" w:afterAutospacing="0"/>
        <w:ind w:firstLine="420" w:firstLineChars="200"/>
        <w:jc w:val="center"/>
        <w:rPr>
          <w:rFonts w:cs="Times New Roman" w:asciiTheme="minorEastAsia" w:hAnsiTheme="minorEastAsia" w:eastAsiaTheme="minorEastAsia"/>
          <w:bCs/>
          <w:color w:val="000000" w:themeColor="text1"/>
          <w:kern w:val="2"/>
          <w:sz w:val="21"/>
          <w:szCs w:val="21"/>
        </w:rPr>
      </w:pPr>
      <w:r>
        <w:rPr>
          <w:rFonts w:hint="eastAsia" w:cs="Times New Roman" w:asciiTheme="minorEastAsia" w:hAnsiTheme="minorEastAsia" w:eastAsiaTheme="minorEastAsia"/>
          <w:bCs/>
          <w:color w:val="000000" w:themeColor="text1"/>
          <w:kern w:val="2"/>
          <w:sz w:val="21"/>
          <w:szCs w:val="21"/>
        </w:rPr>
        <w:t>表4-1  2013-2014学年全校课程开设情况</w:t>
      </w:r>
    </w:p>
    <w:tbl>
      <w:tblPr>
        <w:tblStyle w:val="1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936"/>
        <w:gridCol w:w="936"/>
        <w:gridCol w:w="936"/>
        <w:gridCol w:w="937"/>
        <w:gridCol w:w="936"/>
        <w:gridCol w:w="936"/>
        <w:gridCol w:w="9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课程类别</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bCs/>
                <w:color w:val="000000" w:themeColor="text1"/>
                <w:sz w:val="21"/>
                <w:szCs w:val="21"/>
              </w:rPr>
              <w:t>课程门数</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课程总</w:t>
            </w:r>
            <w:r>
              <w:rPr>
                <w:rFonts w:cs="宋体" w:asciiTheme="minorEastAsia" w:hAnsiTheme="minorEastAsia" w:eastAsiaTheme="minorEastAsia"/>
                <w:color w:val="000000" w:themeColor="text1"/>
                <w:sz w:val="21"/>
                <w:szCs w:val="21"/>
              </w:rPr>
              <w:br w:type="textWrapping"/>
            </w:r>
            <w:r>
              <w:rPr>
                <w:rFonts w:hint="eastAsia" w:cs="宋体" w:asciiTheme="minorEastAsia" w:hAnsiTheme="minorEastAsia" w:eastAsiaTheme="minorEastAsia"/>
                <w:color w:val="000000" w:themeColor="text1"/>
                <w:sz w:val="21"/>
                <w:szCs w:val="21"/>
              </w:rPr>
              <w:t>门次数</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30人及以下课程</w:t>
            </w:r>
            <w:r>
              <w:rPr>
                <w:rFonts w:cs="宋体" w:asciiTheme="minorEastAsia" w:hAnsiTheme="minorEastAsia" w:eastAsiaTheme="minorEastAsia"/>
                <w:color w:val="000000" w:themeColor="text1"/>
                <w:sz w:val="21"/>
                <w:szCs w:val="21"/>
              </w:rPr>
              <w:br w:type="textWrapping"/>
            </w:r>
            <w:r>
              <w:rPr>
                <w:rFonts w:hint="eastAsia" w:cs="宋体" w:asciiTheme="minorEastAsia" w:hAnsiTheme="minorEastAsia" w:eastAsiaTheme="minorEastAsia"/>
                <w:color w:val="000000" w:themeColor="text1"/>
                <w:sz w:val="21"/>
                <w:szCs w:val="21"/>
              </w:rPr>
              <w:t>门次数</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31-60人课程门</w:t>
            </w:r>
            <w:r>
              <w:rPr>
                <w:rFonts w:cs="宋体" w:asciiTheme="minorEastAsia" w:hAnsiTheme="minorEastAsia" w:eastAsiaTheme="minorEastAsia"/>
                <w:color w:val="000000" w:themeColor="text1"/>
                <w:sz w:val="21"/>
                <w:szCs w:val="21"/>
              </w:rPr>
              <w:br w:type="textWrapping"/>
            </w:r>
            <w:r>
              <w:rPr>
                <w:rFonts w:hint="eastAsia" w:cs="宋体" w:asciiTheme="minorEastAsia" w:hAnsiTheme="minorEastAsia" w:eastAsiaTheme="minorEastAsia"/>
                <w:color w:val="000000" w:themeColor="text1"/>
                <w:sz w:val="21"/>
                <w:szCs w:val="21"/>
              </w:rPr>
              <w:t>次数</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61-90人课程门</w:t>
            </w:r>
            <w:r>
              <w:rPr>
                <w:rFonts w:cs="宋体" w:asciiTheme="minorEastAsia" w:hAnsiTheme="minorEastAsia" w:eastAsiaTheme="minorEastAsia"/>
                <w:color w:val="000000" w:themeColor="text1"/>
                <w:sz w:val="21"/>
                <w:szCs w:val="21"/>
              </w:rPr>
              <w:br w:type="textWrapping"/>
            </w:r>
            <w:r>
              <w:rPr>
                <w:rFonts w:hint="eastAsia" w:cs="宋体" w:asciiTheme="minorEastAsia" w:hAnsiTheme="minorEastAsia" w:eastAsiaTheme="minorEastAsia"/>
                <w:color w:val="000000" w:themeColor="text1"/>
                <w:sz w:val="21"/>
                <w:szCs w:val="21"/>
              </w:rPr>
              <w:t>次数</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90人以上课程门</w:t>
            </w:r>
            <w:r>
              <w:rPr>
                <w:rFonts w:cs="宋体" w:asciiTheme="minorEastAsia" w:hAnsiTheme="minorEastAsia" w:eastAsiaTheme="minorEastAsia"/>
                <w:color w:val="000000" w:themeColor="text1"/>
                <w:sz w:val="21"/>
                <w:szCs w:val="21"/>
              </w:rPr>
              <w:br w:type="textWrapping"/>
            </w:r>
            <w:r>
              <w:rPr>
                <w:rFonts w:hint="eastAsia" w:cs="宋体" w:asciiTheme="minorEastAsia" w:hAnsiTheme="minorEastAsia" w:eastAsiaTheme="minorEastAsia"/>
                <w:color w:val="000000" w:themeColor="text1"/>
                <w:sz w:val="21"/>
                <w:szCs w:val="21"/>
              </w:rPr>
              <w:t>次数</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平均学</w:t>
            </w:r>
          </w:p>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时数</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bCs/>
                <w:color w:val="000000" w:themeColor="text1"/>
                <w:sz w:val="21"/>
                <w:szCs w:val="21"/>
              </w:rPr>
              <w:t>平均教学班规模（人）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36" w:type="dxa"/>
            <w:shd w:val="clear" w:color="auto" w:fill="auto"/>
            <w:vAlign w:val="center"/>
          </w:tcPr>
          <w:p>
            <w:pPr>
              <w:jc w:val="center"/>
              <w:rPr>
                <w:rFonts w:cs="宋体" w:asciiTheme="minorEastAsia" w:hAnsiTheme="minorEastAsia" w:eastAsiaTheme="minorEastAsia"/>
                <w:bCs/>
                <w:color w:val="000000" w:themeColor="text1"/>
                <w:sz w:val="21"/>
                <w:szCs w:val="21"/>
              </w:rPr>
            </w:pPr>
            <w:r>
              <w:rPr>
                <w:rFonts w:hint="eastAsia" w:cs="宋体" w:asciiTheme="minorEastAsia" w:hAnsiTheme="minorEastAsia" w:eastAsiaTheme="minorEastAsia"/>
                <w:bCs/>
                <w:color w:val="000000" w:themeColor="text1"/>
                <w:sz w:val="21"/>
                <w:szCs w:val="21"/>
              </w:rPr>
              <w:t>专业课</w:t>
            </w:r>
          </w:p>
        </w:tc>
        <w:tc>
          <w:tcPr>
            <w:tcW w:w="936"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1245</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2784</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721</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1118</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659</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286</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43.47</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36" w:type="dxa"/>
            <w:shd w:val="clear" w:color="auto" w:fill="auto"/>
            <w:vAlign w:val="center"/>
          </w:tcPr>
          <w:p>
            <w:pPr>
              <w:jc w:val="center"/>
              <w:rPr>
                <w:rFonts w:cs="宋体" w:asciiTheme="minorEastAsia" w:hAnsiTheme="minorEastAsia" w:eastAsiaTheme="minorEastAsia"/>
                <w:bCs/>
                <w:color w:val="000000" w:themeColor="text1"/>
                <w:sz w:val="21"/>
                <w:szCs w:val="21"/>
              </w:rPr>
            </w:pPr>
            <w:r>
              <w:rPr>
                <w:rFonts w:hint="eastAsia" w:cs="宋体" w:asciiTheme="minorEastAsia" w:hAnsiTheme="minorEastAsia" w:eastAsiaTheme="minorEastAsia"/>
                <w:bCs/>
                <w:color w:val="000000" w:themeColor="text1"/>
                <w:sz w:val="21"/>
                <w:szCs w:val="21"/>
              </w:rPr>
              <w:t>公共必</w:t>
            </w:r>
            <w:r>
              <w:rPr>
                <w:rFonts w:cs="宋体" w:asciiTheme="minorEastAsia" w:hAnsiTheme="minorEastAsia" w:eastAsiaTheme="minorEastAsia"/>
                <w:bCs/>
                <w:color w:val="000000" w:themeColor="text1"/>
                <w:sz w:val="21"/>
                <w:szCs w:val="21"/>
              </w:rPr>
              <w:br w:type="textWrapping"/>
            </w:r>
            <w:r>
              <w:rPr>
                <w:rFonts w:hint="eastAsia" w:cs="宋体" w:asciiTheme="minorEastAsia" w:hAnsiTheme="minorEastAsia" w:eastAsiaTheme="minorEastAsia"/>
                <w:bCs/>
                <w:color w:val="000000" w:themeColor="text1"/>
                <w:sz w:val="21"/>
                <w:szCs w:val="21"/>
              </w:rPr>
              <w:t>修课</w:t>
            </w:r>
          </w:p>
        </w:tc>
        <w:tc>
          <w:tcPr>
            <w:tcW w:w="936"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87</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2012</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371</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941</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190</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190</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44.69</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36" w:type="dxa"/>
            <w:shd w:val="clear" w:color="auto" w:fill="auto"/>
            <w:vAlign w:val="center"/>
          </w:tcPr>
          <w:p>
            <w:pPr>
              <w:jc w:val="center"/>
              <w:rPr>
                <w:rFonts w:cs="宋体" w:asciiTheme="minorEastAsia" w:hAnsiTheme="minorEastAsia" w:eastAsiaTheme="minorEastAsia"/>
                <w:bCs/>
                <w:color w:val="000000" w:themeColor="text1"/>
                <w:sz w:val="21"/>
                <w:szCs w:val="21"/>
              </w:rPr>
            </w:pPr>
            <w:r>
              <w:rPr>
                <w:rFonts w:hint="eastAsia" w:cs="宋体" w:asciiTheme="minorEastAsia" w:hAnsiTheme="minorEastAsia" w:eastAsiaTheme="minorEastAsia"/>
                <w:bCs/>
                <w:color w:val="000000" w:themeColor="text1"/>
                <w:sz w:val="21"/>
                <w:szCs w:val="21"/>
              </w:rPr>
              <w:t>公共选</w:t>
            </w:r>
            <w:r>
              <w:rPr>
                <w:rFonts w:cs="宋体" w:asciiTheme="minorEastAsia" w:hAnsiTheme="minorEastAsia" w:eastAsiaTheme="minorEastAsia"/>
                <w:bCs/>
                <w:color w:val="000000" w:themeColor="text1"/>
                <w:sz w:val="21"/>
                <w:szCs w:val="21"/>
              </w:rPr>
              <w:br w:type="textWrapping"/>
            </w:r>
            <w:r>
              <w:rPr>
                <w:rFonts w:hint="eastAsia" w:cs="宋体" w:asciiTheme="minorEastAsia" w:hAnsiTheme="minorEastAsia" w:eastAsiaTheme="minorEastAsia"/>
                <w:bCs/>
                <w:color w:val="000000" w:themeColor="text1"/>
                <w:sz w:val="21"/>
                <w:szCs w:val="21"/>
              </w:rPr>
              <w:t>修课</w:t>
            </w:r>
          </w:p>
        </w:tc>
        <w:tc>
          <w:tcPr>
            <w:tcW w:w="936"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272</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615</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162</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136</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133</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133</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21.70</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36" w:type="dxa"/>
            <w:shd w:val="clear" w:color="auto" w:fill="auto"/>
            <w:vAlign w:val="center"/>
          </w:tcPr>
          <w:p>
            <w:pPr>
              <w:jc w:val="center"/>
              <w:rPr>
                <w:rFonts w:cs="宋体" w:asciiTheme="minorEastAsia" w:hAnsiTheme="minorEastAsia" w:eastAsiaTheme="minorEastAsia"/>
                <w:bCs/>
                <w:color w:val="000000" w:themeColor="text1"/>
                <w:sz w:val="21"/>
                <w:szCs w:val="21"/>
              </w:rPr>
            </w:pPr>
            <w:r>
              <w:rPr>
                <w:rFonts w:hint="eastAsia" w:cs="宋体" w:asciiTheme="minorEastAsia" w:hAnsiTheme="minorEastAsia" w:eastAsiaTheme="minorEastAsia"/>
                <w:bCs/>
                <w:color w:val="000000" w:themeColor="text1"/>
                <w:sz w:val="21"/>
                <w:szCs w:val="21"/>
              </w:rPr>
              <w:t>合计</w:t>
            </w:r>
          </w:p>
        </w:tc>
        <w:tc>
          <w:tcPr>
            <w:tcW w:w="936"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1604</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5411</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1254</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2195</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982</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609</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41.45</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36" w:type="dxa"/>
            <w:shd w:val="clear" w:color="auto" w:fill="auto"/>
            <w:vAlign w:val="center"/>
          </w:tcPr>
          <w:p>
            <w:pPr>
              <w:jc w:val="center"/>
              <w:rPr>
                <w:rFonts w:cs="宋体" w:asciiTheme="minorEastAsia" w:hAnsiTheme="minorEastAsia" w:eastAsiaTheme="minorEastAsia"/>
                <w:bCs/>
                <w:color w:val="000000" w:themeColor="text1"/>
                <w:sz w:val="21"/>
                <w:szCs w:val="21"/>
              </w:rPr>
            </w:pPr>
            <w:r>
              <w:rPr>
                <w:rFonts w:hint="eastAsia" w:cs="宋体" w:asciiTheme="minorEastAsia" w:hAnsiTheme="minorEastAsia" w:eastAsiaTheme="minorEastAsia"/>
                <w:bCs/>
                <w:color w:val="000000" w:themeColor="text1"/>
                <w:sz w:val="21"/>
                <w:szCs w:val="21"/>
              </w:rPr>
              <w:t>比例</w:t>
            </w:r>
          </w:p>
        </w:tc>
        <w:tc>
          <w:tcPr>
            <w:tcW w:w="936" w:type="dxa"/>
            <w:shd w:val="clear" w:color="auto" w:fill="auto"/>
            <w:vAlign w:val="center"/>
          </w:tcPr>
          <w:p>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23.18%</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40.57%</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18.15%</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11.25%</w:t>
            </w:r>
          </w:p>
        </w:tc>
        <w:tc>
          <w:tcPr>
            <w:tcW w:w="936"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w:t>
            </w:r>
          </w:p>
        </w:tc>
        <w:tc>
          <w:tcPr>
            <w:tcW w:w="937" w:type="dxa"/>
            <w:shd w:val="clear" w:color="auto" w:fill="auto"/>
            <w:vAlign w:val="center"/>
          </w:tcPr>
          <w:p>
            <w:pPr>
              <w:jc w:val="center"/>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w:t>
            </w:r>
          </w:p>
        </w:tc>
      </w:tr>
    </w:tbl>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系统整合实践教学资源，实施综合性教学实习。整合植物学、动物学、生态学、土壤学、农林气象学等课程单一教学实习，实施生物学综合实习；整合养猪学、养羊学、养牛学、养禽学、家畜繁殖学等课程实习，实施动物生产学综合实习；整合耕作学、育种学、栽培学等课程实习，实施植物生产学综合实习；整合分子生物学、基因工程、细胞工程、酶工程等课程相关内容，实施生物技术综合实习。</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推行本科生学业导师制。充分发挥教师在本科人才培养过程中的指导作用，引导学生早介入科研课题、早进团队、早进实验室、早进基地，培养学生创新创业意识和团队合作精神。</w:t>
      </w:r>
    </w:p>
    <w:p>
      <w:pPr>
        <w:pStyle w:val="3"/>
        <w:spacing w:before="72" w:after="72"/>
      </w:pPr>
      <w:bookmarkStart w:id="21" w:name="_Toc437350063"/>
      <w:bookmarkStart w:id="22" w:name="_Toc438192361"/>
      <w:r>
        <w:rPr>
          <w:rFonts w:hint="eastAsia"/>
        </w:rPr>
        <w:t>（六）深入推进本科教育国际化进程</w:t>
      </w:r>
      <w:bookmarkEnd w:id="21"/>
      <w:bookmarkEnd w:id="22"/>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学校立足于高起点实现与国际接轨，从办学方式、队伍建设、学生经历等方面不断加快教育国际化进程。</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实施本科生国际视野拓展计划。2014年共选派本科生出国（境）攻读学位、访学、实习等252人次，其中国家公派项目21人。选派179名本科生赴美国夏威夷大学、内布拉斯加林肯大学、密西根州立大学、俄克拉荷马州立大学等9所学校访学。13名本科生参加欧洲夏令营项目。28名本科生通过“2+2”项目分别赴美国马里兰大学、内布拉斯加林肯大学、科罗拉多州立大学等学校攻读学士学位。</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加强师资队伍建设的国际化进程。通过境外专家学者来校讲学、派出教师出国研修、以协议方式开展科研合作等多种途径加快师资队伍的国际化进程。2014年，来自美国、加拿大、英国、芬兰、德国、荷兰、日本、澳大利亚、新西兰等38个国家和地区的知名专家学者来校交流共计201批次；派出专家学者出国（境）开展学术合作与交流326人次；与美国弗吉尼亚理工大学、荷兰欧洲能源研究院等4所著名科教机构签署合作备忘录，与美国加州大学戴维斯分校、马里兰大学等9所国际名校续签合作协议，与默多克大学成立中澳生物和非生物逆境治理联合研究中心，与141所海外知名大学和科研机构建立了校际合作关系。</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营造国际化的校园环境。2014年共有1,179位国外专家来校开展学生交流活动，营造了浓厚的校园国际化氛围；组织“海外归国话成才”讲座、英语角、英语演讲比赛、英文配音大赛、模拟联合国等校园文化活动48次，活跃了我校学生的英语学习和文化生活；美国奥本大学、内布拉斯加林肯大学、南方大学，澳大利亚阿德莱德大学学生代表团48人来校访学，加强了中美、中澳文化交流；继续加强留学生教育，2014年来自30多个国家的留学生数量达到166人，通过举办国际文化艺术节、组织留学生参加各项文化活动，进一步营造国际化的校园环境。</w:t>
      </w:r>
    </w:p>
    <w:p>
      <w:pPr>
        <w:pStyle w:val="3"/>
        <w:spacing w:before="72" w:after="72"/>
      </w:pPr>
      <w:bookmarkStart w:id="23" w:name="_Toc437350064"/>
      <w:bookmarkStart w:id="24" w:name="_Toc438192362"/>
      <w:r>
        <w:rPr>
          <w:rFonts w:hint="eastAsia"/>
        </w:rPr>
        <w:t>（七）全面加强文化素质教育</w:t>
      </w:r>
      <w:bookmarkEnd w:id="23"/>
      <w:bookmarkEnd w:id="24"/>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学校依靠多年文化积淀与学科优势，以校园文化活动为着力点，构建多层次的文化素质教育新体系。</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学校坚持以高水平、多领域素质教育报告会为载体,提升大学生科学与人文素养。2014年邀请高雅艺术进校园演出6场，举办素质教育讲座、报告会106场，其中 “名人名家”报告会40场，受益学生达15万人次。推动校园文化活动“精品化”、“系列化”、“平台化”。2014年举办了“校园之春文化艺术节”和“金秋科技文化艺术节”等系列活动27项，塑造出一批如校园十佳歌手大赛、微电影大赛、舞蹈大赛、主持人大赛为代表的精品校园文化活动。组织了“西农情·中国梦”庆祝学校成立80周年暨合校15周年文艺晚会。邀请西安佳音合唱团、“满天星”业余交响乐团来校演出。2014年度CCTV“三农人物”推介会走进我校文艺演出等重要活动,展现了我校大学生的青春风采及学校的文化底蕴和育人成果。在2014年陕西教育系统中华经典诵读活动中，我校大学生艺术团朗诵作品《西去列车的窗口》荣获全省高校组一等奖，我校被评为“最佳组织单位”。</w:t>
      </w:r>
    </w:p>
    <w:p>
      <w:pPr>
        <w:pStyle w:val="11"/>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按照</w:t>
      </w:r>
      <w:r>
        <w:rPr>
          <w:rFonts w:cs="仿宋_GB2312" w:asciiTheme="minorEastAsia" w:hAnsiTheme="minorEastAsia" w:eastAsiaTheme="minorEastAsia"/>
          <w:color w:val="000000" w:themeColor="text1"/>
        </w:rPr>
        <w:t>社会公益类、教育科学类、理论学习类、兴趣爱好类</w:t>
      </w:r>
      <w:r>
        <w:rPr>
          <w:rFonts w:hint="eastAsia" w:cs="仿宋_GB2312" w:asciiTheme="minorEastAsia" w:hAnsiTheme="minorEastAsia" w:eastAsiaTheme="minorEastAsia"/>
          <w:color w:val="000000" w:themeColor="text1"/>
        </w:rPr>
        <w:t>开展分类指导</w:t>
      </w:r>
      <w:r>
        <w:rPr>
          <w:rFonts w:cs="仿宋_GB2312" w:asciiTheme="minorEastAsia" w:hAnsiTheme="minorEastAsia" w:eastAsiaTheme="minorEastAsia"/>
          <w:color w:val="000000" w:themeColor="text1"/>
        </w:rPr>
        <w:t>，</w:t>
      </w:r>
      <w:r>
        <w:rPr>
          <w:rFonts w:hint="eastAsia" w:cs="仿宋_GB2312" w:asciiTheme="minorEastAsia" w:hAnsiTheme="minorEastAsia" w:eastAsiaTheme="minorEastAsia"/>
          <w:color w:val="000000" w:themeColor="text1"/>
        </w:rPr>
        <w:t>促进</w:t>
      </w:r>
      <w:r>
        <w:rPr>
          <w:rFonts w:cs="仿宋_GB2312" w:asciiTheme="minorEastAsia" w:hAnsiTheme="minorEastAsia" w:eastAsiaTheme="minorEastAsia"/>
          <w:color w:val="000000" w:themeColor="text1"/>
        </w:rPr>
        <w:t>精品社团</w:t>
      </w:r>
      <w:r>
        <w:rPr>
          <w:rFonts w:hint="eastAsia" w:cs="仿宋_GB2312" w:asciiTheme="minorEastAsia" w:hAnsiTheme="minorEastAsia" w:eastAsiaTheme="minorEastAsia"/>
          <w:color w:val="000000" w:themeColor="text1"/>
        </w:rPr>
        <w:t>建设</w:t>
      </w:r>
      <w:r>
        <w:rPr>
          <w:rFonts w:cs="仿宋_GB2312" w:asciiTheme="minorEastAsia" w:hAnsiTheme="minorEastAsia" w:eastAsiaTheme="minorEastAsia"/>
          <w:color w:val="000000" w:themeColor="text1"/>
        </w:rPr>
        <w:t>。2014年，学校以项目形式支持社团开展社会调研15项，向日葵爱心社撰写的《农村社会变迁中社会性别不平等现状的调查研究》获得全国一等奖，武术协会在</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第十一届香港国际武术节</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中获1金1银，演讲与口才协会在</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全国大学生演讲与口才大赛</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中获得一等奖，新骑点自行车协会在</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杨凌农科城全国自行车邀请赛</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中分获男子组、女子组第一名及</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优秀组织奖</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，红凤社荣获</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陕西省红凤工程优秀志愿者团队奖</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，青年志愿者协会荣获第九届</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全国青年志愿者优秀组织奖</w:t>
      </w:r>
      <w:r>
        <w:rPr>
          <w:rFonts w:hint="eastAsia" w:cs="仿宋_GB2312" w:asciiTheme="minorEastAsia" w:hAnsiTheme="minorEastAsia" w:eastAsiaTheme="minorEastAsia"/>
          <w:color w:val="000000" w:themeColor="text1"/>
        </w:rPr>
        <w:t>”等</w:t>
      </w:r>
      <w:r>
        <w:rPr>
          <w:rFonts w:cs="仿宋_GB2312" w:asciiTheme="minorEastAsia" w:hAnsiTheme="minorEastAsia" w:eastAsiaTheme="minorEastAsia"/>
          <w:color w:val="000000" w:themeColor="text1"/>
        </w:rPr>
        <w:t>。</w:t>
      </w:r>
    </w:p>
    <w:p>
      <w:pPr>
        <w:pStyle w:val="2"/>
        <w:spacing w:before="180" w:after="180"/>
      </w:pPr>
      <w:bookmarkStart w:id="25" w:name="_Toc438192363"/>
      <w:bookmarkStart w:id="26" w:name="_Toc437350065"/>
      <w:r>
        <w:rPr>
          <w:rFonts w:hint="eastAsia"/>
        </w:rPr>
        <w:t>五、创新创业教育</w:t>
      </w:r>
      <w:bookmarkEnd w:id="25"/>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学校积极响应国家政策，不断加强顶层设计，形成了从教到学、从单方实践到多方协同推进的创新创业教育体系。</w:t>
      </w:r>
    </w:p>
    <w:p>
      <w:pPr>
        <w:pStyle w:val="3"/>
        <w:spacing w:before="72" w:after="72"/>
      </w:pPr>
      <w:bookmarkStart w:id="27" w:name="_Toc438192364"/>
      <w:r>
        <w:rPr>
          <w:rFonts w:hint="eastAsia"/>
        </w:rPr>
        <w:t>（一）完善人才培养标准</w:t>
      </w:r>
      <w:bookmarkEnd w:id="27"/>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在国家的政策导向下，结合杨凌示范区《关于进一步支持大学生创新创业相关政策》文件内容，立足农林院校实际，逐渐形成了明确的创新创业人才培养目标和清晰的创新创业人才培养规格。2014年学校出台了《关于加强大学生创业工作的实施意见》，不仅从制度上完善了创新创业人才的培养标准，还从组织领导、平台搭建等方面为人才培养提供制度支持。</w:t>
      </w:r>
    </w:p>
    <w:p>
      <w:pPr>
        <w:pStyle w:val="3"/>
        <w:spacing w:before="72" w:after="72"/>
      </w:pPr>
      <w:bookmarkStart w:id="28" w:name="_Toc438192365"/>
      <w:r>
        <w:rPr>
          <w:rFonts w:hint="eastAsia"/>
        </w:rPr>
        <w:t>（二）建立培养协同机制</w:t>
      </w:r>
      <w:bookmarkEnd w:id="28"/>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协同校内力量和校外资源。联合社会力量，优化学校创新创业环境，共同打造创新创业平台。2014年，学校与青岛高新区等创新创业孵化基地联合建立创新创业人才培养基地。协同创业政策与创业资金。发挥好“指挥棒”与“能量源”的工作合力，确保创业工作持久开展。协同创新创业与产学研合作。围绕学校产学研相结合的特色成果开展创业实践，深化创业内涵，形成创新创业可持续发展的良好生态。</w:t>
      </w:r>
    </w:p>
    <w:p>
      <w:pPr>
        <w:pStyle w:val="3"/>
        <w:spacing w:before="72" w:after="72"/>
      </w:pPr>
      <w:bookmarkStart w:id="29" w:name="_Toc438192366"/>
      <w:r>
        <w:rPr>
          <w:rFonts w:hint="eastAsia"/>
        </w:rPr>
        <w:t>（三） 健全课程体系</w:t>
      </w:r>
      <w:bookmarkEnd w:id="29"/>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设立新生研讨课，探索多样化的通识教育课堂模式，培养创新思维能力；开设《大学生创业基础》《创业意识培养》选修课，纳入大学生素质教育核心课程体系；持续开展“创业精英培养计划”和“青年农场主培养计划”，强化学生创业技能；组织举办创新创业讲堂、“启航”系列创新创业沙龙，以多样化的第二课堂完善课程体系。2014年，先后开设创新创业选修课9门次，覆盖学生800余人，开设创新创业专题培训20余场次，覆盖学生800余人。</w:t>
      </w:r>
    </w:p>
    <w:p>
      <w:pPr>
        <w:pStyle w:val="3"/>
        <w:spacing w:before="72" w:after="72"/>
      </w:pPr>
      <w:bookmarkStart w:id="30" w:name="_Toc438192367"/>
      <w:r>
        <w:rPr>
          <w:rFonts w:hint="eastAsia"/>
        </w:rPr>
        <w:t>（四）推进教学改革</w:t>
      </w:r>
      <w:bookmarkEnd w:id="30"/>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在大学生创新创业课程中，积极推行授课方法改革。一是实行小班教学，课程容量严格控制，学生分组管理；二是引入启发式教学，以《设计思考》等翻转式课程挖掘学生思维潜力；三是开展体验式教学，在试验示范站等校外基地开展新生研讨课，学生在亲身感受下增强认知与认同；四是丰富考核方式，将创意方案、产品模型、研究论文等纳入考核办法，逐渐形成“高能高分”导向。</w:t>
      </w:r>
    </w:p>
    <w:p>
      <w:pPr>
        <w:pStyle w:val="3"/>
        <w:spacing w:before="72" w:after="72"/>
      </w:pPr>
      <w:bookmarkStart w:id="31" w:name="_Toc438192368"/>
      <w:r>
        <w:rPr>
          <w:rFonts w:hint="eastAsia"/>
        </w:rPr>
        <w:t>（五） 强化教育实践</w:t>
      </w:r>
      <w:bookmarkEnd w:id="31"/>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完善硬性实践平台。与示范区共建大学生创业孵化园，改善创业团队办公条件，扩大开放重点实验室、科研温室等各类校内平台，构建开放共享的创新环境，做好条件支撑。截至2014年底，建立了数学建模实验室、化学设计实验室、现代生命科学实验室等6大类创新实验平台，建设了物理、化学、植物与植物生理等10个示范性综合实验室（中心）。全校所有科研资源、各类实验室及仪器设备都面向本科生开放，使每个学生都有机会参与科研项目。学校共开设实验项目3,185个，本科生实验人时数4,851,184，其中开放性实验项目1,396个，参与学生13,934人次，1,436,148人时数。为正式注册企业的创业团队无偿提供办公场所22间，与地方政府共建创业基地3个，为创业学生提供了创意转化、项目研发、生产实践、交流分享、展示推介等全方位、立体化、一站式开放服务平台和项目孵化空间。</w:t>
      </w:r>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努力挖掘软性实践平台。积极组织学生参与校内外创新创业竞赛，形成了以“挑战杯”竞赛和本科生创新创业论坛为主，结合软件设计大赛、家具设计大赛、工业品外观设计大赛等专业学科特色竞赛为补充的创新竞赛体系。2014年，获批国家级“大学生创新创业训练计划”项目120项，列支400万元予以配套并资助校级项目560项，参与学生2,732人。举办了全国“第二届植物生产类创新论坛”，为学生展示科创项目成果、交流经验搭建平台。开展校内学科竞赛38项，先后组织学生参加全国大学生英语竞赛、数学建模竞赛、周培元力学竞赛、水利创新设计竞赛、软件设计大赛、节能竞技大赛、电子设计竞赛、节能减排大赛、工业品设计大赛等国家级、省部级学科竞赛20余项。全年参加各类学科竞赛的学生有4,189人，约占学生总数20.39%。</w:t>
      </w:r>
    </w:p>
    <w:p>
      <w:pPr>
        <w:pStyle w:val="3"/>
        <w:spacing w:before="72" w:after="72"/>
      </w:pPr>
      <w:bookmarkStart w:id="32" w:name="_Toc438192369"/>
      <w:r>
        <w:rPr>
          <w:rFonts w:hint="eastAsia"/>
        </w:rPr>
        <w:t>（六）加强教师能力建设</w:t>
      </w:r>
      <w:bookmarkEnd w:id="32"/>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校以“内选外聘、专兼结合、分类指导”的方式建立了由专家教授、企业高管、创业成功人士和学工干部交叉组成的89人的大学生创业导师库，涉及20余个行业及专业，形成全方位指导；选拔校内师资参加创业咨询师、创业指导师、SIYB系列讲师、百森商学院创业师资等培训学习近20人次，提高教学指导能力；将创新创业教育意识和能力纳入教工培训，完善创业导师责任制度，落实考核管理，强化教师引导意识；灵活创业指导课时认定方式，健全科研成果转化制度，提高教师参与积极性。</w:t>
      </w:r>
    </w:p>
    <w:p>
      <w:pPr>
        <w:pStyle w:val="3"/>
        <w:spacing w:before="72" w:after="72"/>
      </w:pPr>
      <w:bookmarkStart w:id="33" w:name="_Toc438192370"/>
      <w:r>
        <w:rPr>
          <w:rFonts w:hint="eastAsia"/>
        </w:rPr>
        <w:t>（七）改进创业指导服务</w:t>
      </w:r>
      <w:bookmarkEnd w:id="33"/>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充分发掘学校和社会资源，从教师、学校、社会构建三级服务平台，教师方面，从能力提高、成长陪伴、技术指导和项目孵化四个方面给予学生指导和帮扶。学校方面，筹备建立线上学习和宣传平台“创业专题网站”，为学生创业者提供在线学习、政策宣传、信息传递、项目推介、交流分享等网络服务平台。社会方面，利用优势、挖掘资源、广泛与地方政府和企业合作，共建创业实践基地3处，为学生在能力提升、项目展示和技能训练等方面搭建社会服务平台。</w:t>
      </w:r>
    </w:p>
    <w:p>
      <w:pPr>
        <w:pStyle w:val="3"/>
        <w:spacing w:before="72" w:after="72"/>
      </w:pPr>
      <w:bookmarkStart w:id="34" w:name="_Toc438192371"/>
      <w:r>
        <w:rPr>
          <w:rFonts w:hint="eastAsia"/>
        </w:rPr>
        <w:t>（八）完善经费和政策支持</w:t>
      </w:r>
      <w:bookmarkEnd w:id="34"/>
    </w:p>
    <w:p>
      <w:pPr>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在出台《关于加强大学生创业工作的实施意见》的基础上，结合杨凌示范区《关于进一步支持大学生创新创业相关政策》文件内容，从创业培训、资金扶持、办公场地、住房补贴、社会保障、金融服务、优先政策等多个方面为学生提供政策保障。每年设立不少于200万元创业专项经费，并积极争取校外资金支持，初步形成了“种子资金+孵化资金+创业资金”综合型资金扶持模式，助推优质创业项目孵化落地，有22支团队注册成立了公司，有9支团队评审通过并进入杨凌示范区创新团队，5支团队共获得50万元杨凌示范区种子孵化基金支持，4门创业精英培训课程得到杨凌示范区20万元补助。</w:t>
      </w:r>
    </w:p>
    <w:p>
      <w:pPr>
        <w:pStyle w:val="2"/>
        <w:spacing w:before="180" w:after="180"/>
      </w:pPr>
      <w:bookmarkStart w:id="35" w:name="_Toc438192372"/>
      <w:r>
        <w:rPr>
          <w:rFonts w:hint="eastAsia"/>
        </w:rPr>
        <w:t>六、教学质量保障体系</w:t>
      </w:r>
      <w:bookmarkEnd w:id="26"/>
      <w:bookmarkEnd w:id="35"/>
    </w:p>
    <w:p>
      <w:pPr>
        <w:pStyle w:val="3"/>
        <w:spacing w:before="72" w:after="72"/>
      </w:pPr>
      <w:bookmarkStart w:id="36" w:name="_Toc437350066"/>
      <w:bookmarkStart w:id="37" w:name="_Toc438192373"/>
      <w:r>
        <w:rPr>
          <w:rFonts w:hint="eastAsia"/>
        </w:rPr>
        <w:t>（一）确立组织保障体系</w:t>
      </w:r>
      <w:bookmarkEnd w:id="36"/>
      <w:bookmarkEnd w:id="37"/>
    </w:p>
    <w:p>
      <w:pPr>
        <w:pStyle w:val="11"/>
        <w:topLinePunct/>
        <w:snapToGrid w:val="0"/>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确立了本科教育的基础地位和教学工作的中心地位，建立了党政“一把手”作为本科教学质量第一责任人制度，形成了学校领导联系院(系)、联系学生班级、联系青年教师的一系列制度。2014年，学校党委常委会、校长办公会、专题会议先后32次召开会议研究专业建设、师资队伍建设、教学条件建设、教学管理改革、学生思想教育等有关教学工作的重大问题。学校领导走访院系43次，与教师学生座谈56次。校院两级领导干部共129人，对23个学院（系）听课653门次。</w:t>
      </w:r>
    </w:p>
    <w:p>
      <w:pPr>
        <w:pStyle w:val="3"/>
        <w:spacing w:before="72" w:after="72"/>
      </w:pPr>
      <w:bookmarkStart w:id="38" w:name="_Toc437350067"/>
      <w:bookmarkStart w:id="39" w:name="_Toc438192374"/>
      <w:r>
        <w:rPr>
          <w:rFonts w:hint="eastAsia"/>
        </w:rPr>
        <w:t>（二）完善制度体系建设</w:t>
      </w:r>
      <w:bookmarkEnd w:id="38"/>
      <w:bookmarkEnd w:id="39"/>
    </w:p>
    <w:p>
      <w:pPr>
        <w:pStyle w:val="11"/>
        <w:topLinePunct/>
        <w:snapToGrid w:val="0"/>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完善处级干部听课制度、教学督导制度、学生教学信息员制度、学生评教制度、实习跟踪检查制度、教学副院长和教学秘书例会制度、教学管理干部联系学院制度，及时协调和解决教学运行中存在问题，保证教学工作的正常运行。</w:t>
      </w:r>
      <w:r>
        <w:rPr>
          <w:rFonts w:hint="eastAsia" w:cs="仿宋_GB2312" w:asciiTheme="minorEastAsia" w:hAnsiTheme="minorEastAsia" w:eastAsiaTheme="minorEastAsia"/>
        </w:rPr>
        <w:t>2014年制定了《本科生学业导师制管理办法》《本科生课程助教管理办法》《教师本科教学质量综合评价办法》《多媒体网络课程建设实施办法》《教师教学奖励条例》</w:t>
      </w:r>
      <w:r>
        <w:rPr>
          <w:rFonts w:hint="eastAsia" w:cs="仿宋_GB2312" w:asciiTheme="minorEastAsia" w:hAnsiTheme="minorEastAsia" w:eastAsiaTheme="minorEastAsia"/>
          <w:color w:val="000000" w:themeColor="text1"/>
        </w:rPr>
        <w:t>等规章制度，构建起比较完善的制度保障体系。</w:t>
      </w:r>
    </w:p>
    <w:p>
      <w:pPr>
        <w:pStyle w:val="3"/>
        <w:spacing w:before="72" w:after="72"/>
      </w:pPr>
      <w:bookmarkStart w:id="40" w:name="_Toc437350068"/>
      <w:bookmarkStart w:id="41" w:name="_Toc438192375"/>
      <w:r>
        <w:rPr>
          <w:rFonts w:hint="eastAsia"/>
        </w:rPr>
        <w:t>（三）健全监管体系建设</w:t>
      </w:r>
      <w:bookmarkEnd w:id="40"/>
      <w:bookmarkEnd w:id="41"/>
    </w:p>
    <w:p>
      <w:pPr>
        <w:pStyle w:val="4"/>
        <w:spacing w:before="72" w:after="72"/>
      </w:pPr>
      <w:r>
        <w:rPr>
          <w:rFonts w:hint="eastAsia"/>
        </w:rPr>
        <w:t>1.加强教学督导</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完善教学督导工作机制，教学督导工作重心由“督”向“导”转变，督导的范围涵盖专业建设、课程建设、教材建设、教学计划、课程质量标准的制订、课堂教学、师德教风、毕业论文（设计）等教学建设和教学环节。2014年，在全校5,000多篇本科毕业论文（设计）中，随机抽选1,328篇进行“学术不端行为检测”，占当届学生的26.36%。抽查试卷30,271份，涉及课程668门，所有课程教学状态评估结果记入教师当年的考核档案，作为教师参加教学评奖、教改项目申报、职务评审、岗位聘任等资格审查和评聘的重要依据之一。</w:t>
      </w:r>
    </w:p>
    <w:p>
      <w:pPr>
        <w:pStyle w:val="4"/>
        <w:spacing w:before="72" w:after="72"/>
      </w:pPr>
      <w:r>
        <w:rPr>
          <w:rFonts w:hint="eastAsia"/>
        </w:rPr>
        <w:t>2.实施教学质量综合评价</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实施《教师本科教学质量综合评价办法》，学生、学院（系、部）和学校三方共同组成评价主体，按照权重60%、30%、10%，对教师教学的不同环节进行评价，达到加强过程管理，促进质量提升的目的。实施教师职称评审教学质量“一票否决制”。2014年，对114名拟晋升高级专业技术职务教师进行了教学水平评价。组织教学督导组专家对评教结果排名前后10%的教师进行听课检查，并将学生评教结果及专家听课意见及时反馈给相关教师，促进教师提高教学能力与水平。</w:t>
      </w:r>
    </w:p>
    <w:p>
      <w:pPr>
        <w:pStyle w:val="4"/>
        <w:spacing w:before="72" w:after="72"/>
      </w:pPr>
      <w:r>
        <w:rPr>
          <w:rFonts w:hint="eastAsia"/>
        </w:rPr>
        <w:t>3.坚持学生评教</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学校将学生评教结果作为教师教学质量测评和绩效考核的重要依据。2014年，全校有4.5万人（次）学生参与，参与率达到98%以上，涉及5,622个课程班的任课老师，结果显示整体满意度在95%以上。学校还不定期开展问卷调查，获取学生对教师的教学行为以及学校教学工作的意见和建议，并及时反馈给任课教师及各相关部门。</w:t>
      </w:r>
    </w:p>
    <w:p>
      <w:pPr>
        <w:pStyle w:val="4"/>
        <w:spacing w:before="72" w:after="72"/>
      </w:pPr>
      <w:r>
        <w:rPr>
          <w:rFonts w:hint="eastAsia"/>
        </w:rPr>
        <w:t>4.出台教学奖励政策</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2014学校制定了《教学奖励条例》，实施教学改革、教学成果奖励计划，激励教师全身心投入教书育人、教学改革与研究工作。全体教师积极参与教学实践，加强教学研究，并将研究成果及时应用于教学实践中。</w:t>
      </w:r>
    </w:p>
    <w:p>
      <w:pPr>
        <w:pStyle w:val="4"/>
        <w:spacing w:before="72" w:after="72"/>
      </w:pPr>
      <w:r>
        <w:rPr>
          <w:rFonts w:hint="eastAsia"/>
        </w:rPr>
        <w:t>5.加强教学基本状态分析监测</w:t>
      </w:r>
    </w:p>
    <w:p>
      <w:pPr>
        <w:spacing w:line="400" w:lineRule="exact"/>
        <w:ind w:firstLine="480" w:firstLineChars="200"/>
        <w:rPr>
          <w:rFonts w:cs="仿宋_GB2312" w:asciiTheme="minorEastAsia" w:hAnsiTheme="minorEastAsia" w:eastAsiaTheme="minorEastAsia"/>
          <w:b/>
          <w:bCs/>
          <w:color w:val="000000" w:themeColor="text1"/>
          <w:sz w:val="24"/>
          <w:szCs w:val="24"/>
        </w:rPr>
      </w:pPr>
      <w:r>
        <w:rPr>
          <w:rFonts w:hint="eastAsia" w:cs="仿宋_GB2312" w:asciiTheme="minorEastAsia" w:hAnsiTheme="minorEastAsia" w:eastAsiaTheme="minorEastAsia"/>
          <w:color w:val="000000" w:themeColor="text1"/>
          <w:sz w:val="24"/>
          <w:szCs w:val="24"/>
        </w:rPr>
        <w:t>学校充分利用教育部高等学校教学基本状态数据库资源、学校教学管理系统，摸清学校教学基本状态，对存在问题进行及时整改，保证正常的教学运行。在二级教学单位，继续实施年度教学质量报告制度及基本状态数据公示制度，要求二级教学单位编制并发布本科教学质量年度报告，查找存在的问题，增强教学管理的针对性，提升教学质量和办学水平。截止2014年11月，各学院已全部在学校范围内发布年度教学质量报告，接受广大师生的监督。</w:t>
      </w:r>
    </w:p>
    <w:p>
      <w:pPr>
        <w:pStyle w:val="2"/>
        <w:spacing w:before="180" w:after="180"/>
      </w:pPr>
      <w:bookmarkStart w:id="42" w:name="_Toc437350069"/>
      <w:bookmarkStart w:id="43" w:name="_Toc438192376"/>
      <w:r>
        <w:rPr>
          <w:rFonts w:hint="eastAsia"/>
        </w:rPr>
        <w:t>七、学生学习效果</w:t>
      </w:r>
      <w:bookmarkEnd w:id="42"/>
      <w:bookmarkEnd w:id="43"/>
    </w:p>
    <w:p>
      <w:pPr>
        <w:pStyle w:val="11"/>
        <w:widowControl w:val="0"/>
        <w:topLinePunct/>
        <w:spacing w:before="0" w:beforeAutospacing="0" w:after="0" w:afterAutospacing="0" w:line="40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2014年学校充分调动了学生自主学习的积极性，学生的学业成绩不断提高，综合素质和社会责任感不断增强，人才培养质量稳步提高。</w:t>
      </w:r>
    </w:p>
    <w:p>
      <w:pPr>
        <w:pStyle w:val="4"/>
        <w:spacing w:before="72" w:after="72"/>
      </w:pPr>
      <w:r>
        <w:rPr>
          <w:rFonts w:hint="eastAsia"/>
        </w:rPr>
        <w:t>1.毕业生的学业成绩优秀率提高</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与2013年相比，2014年全校符合免推研究生条件的达到1,495人，总体提高了11.90%。实际录取的免推本科毕业生925名，占全校应届预毕业生的17%。被录取至外校攻读研究生731人，占全部推荐学生的79%，其中推荐至“985工程”高校525人，“211工程”院校114人。</w:t>
      </w:r>
    </w:p>
    <w:p>
      <w:pPr>
        <w:pStyle w:val="4"/>
        <w:spacing w:before="72" w:after="72"/>
      </w:pPr>
      <w:r>
        <w:rPr>
          <w:rFonts w:hint="eastAsia"/>
        </w:rPr>
        <w:t>2.毕业及学位授予保持稳态</w:t>
      </w:r>
    </w:p>
    <w:p>
      <w:pPr>
        <w:spacing w:line="400" w:lineRule="exact"/>
        <w:ind w:firstLine="480" w:firstLineChars="200"/>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2014年，全校应届本科毕业生5,288名，其中5,025名学生符合毕业条件获得毕业证书，13名学生获得结业证书，42人申请延长学习年限，毕业率为99.74%。授予学士学位5,007人，学位授予率达99.64%。</w:t>
      </w:r>
    </w:p>
    <w:p>
      <w:pPr>
        <w:pStyle w:val="4"/>
        <w:spacing w:before="72" w:after="72"/>
      </w:pPr>
      <w:r>
        <w:rPr>
          <w:rFonts w:hint="eastAsia"/>
        </w:rPr>
        <w:t>3.学生创新能力表现突出</w:t>
      </w:r>
    </w:p>
    <w:p>
      <w:pPr>
        <w:spacing w:line="400" w:lineRule="exact"/>
        <w:ind w:firstLine="480" w:firstLineChars="200"/>
        <w:rPr>
          <w:rFonts w:cs="仿宋_GB2312" w:asciiTheme="minorEastAsia" w:hAnsiTheme="minorEastAsia" w:eastAsiaTheme="minorEastAsia"/>
          <w:b/>
          <w:bCs/>
          <w:color w:val="000000" w:themeColor="text1"/>
          <w:sz w:val="24"/>
          <w:szCs w:val="24"/>
        </w:rPr>
      </w:pPr>
      <w:r>
        <w:rPr>
          <w:rFonts w:hint="eastAsia" w:asciiTheme="minorEastAsia" w:hAnsiTheme="minorEastAsia" w:eastAsiaTheme="minorEastAsia"/>
          <w:sz w:val="24"/>
          <w:szCs w:val="24"/>
        </w:rPr>
        <w:t>创新能力培养成效显著，学生发表文章、获得专利、在国家级或省部级学科竞赛中获奖的数量和质量较往年有了明显的提高。2014年全校本科生公开发表论文115 篇，其中核心及以上期刊 70篇，获批专利9项。全年参加各类学科竞赛的学生有4,189人，占学生总数20.39%，共获各类奖项397项，其中国家级奖项101项，省级奖项11项，校级奖项295项。</w:t>
      </w:r>
    </w:p>
    <w:p>
      <w:pPr>
        <w:pStyle w:val="4"/>
        <w:spacing w:before="72" w:after="72"/>
      </w:pPr>
      <w:r>
        <w:rPr>
          <w:rFonts w:hint="eastAsia"/>
        </w:rPr>
        <w:t>4.学生体质健康状况良好</w:t>
      </w:r>
    </w:p>
    <w:p>
      <w:pPr>
        <w:topLinePunct/>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2014年，学生体质测试达标率为88.66%。学校举办了田径运动会及院（系）间学生篮球联赛、排球联赛、足球联赛、网球团体赛、桥牌团体赛、乒乓球团体赛、羽毛球团体赛、第九套广播体操比赛、冬季长跑对抗赛等10项大型群体活动。学生积极参与国家级、省级体育竞赛，成绩显著。其中男女子排球队在第一届中国大学生阳光排球联赛上分获亚军，在陕西省大学生排球联赛中分获冠军；女子篮球队在陕西省大学生篮球联赛中获冠军；</w:t>
      </w:r>
      <w:r>
        <w:rPr>
          <w:rFonts w:cs="仿宋_GB2312" w:asciiTheme="minorEastAsia" w:hAnsiTheme="minorEastAsia" w:eastAsiaTheme="minorEastAsia"/>
          <w:color w:val="000000" w:themeColor="text1"/>
          <w:sz w:val="24"/>
          <w:szCs w:val="24"/>
        </w:rPr>
        <w:t>游泳队</w:t>
      </w:r>
      <w:r>
        <w:rPr>
          <w:rFonts w:hint="eastAsia" w:cs="仿宋_GB2312" w:asciiTheme="minorEastAsia" w:hAnsiTheme="minorEastAsia" w:eastAsiaTheme="minorEastAsia"/>
          <w:color w:val="000000" w:themeColor="text1"/>
          <w:sz w:val="24"/>
          <w:szCs w:val="24"/>
        </w:rPr>
        <w:t>在陕西</w:t>
      </w:r>
      <w:r>
        <w:rPr>
          <w:rFonts w:cs="仿宋_GB2312" w:asciiTheme="minorEastAsia" w:hAnsiTheme="minorEastAsia" w:eastAsiaTheme="minorEastAsia"/>
          <w:color w:val="000000" w:themeColor="text1"/>
          <w:sz w:val="24"/>
          <w:szCs w:val="24"/>
        </w:rPr>
        <w:t>省大学生游泳比赛</w:t>
      </w:r>
      <w:r>
        <w:rPr>
          <w:rFonts w:hint="eastAsia" w:cs="仿宋_GB2312" w:asciiTheme="minorEastAsia" w:hAnsiTheme="minorEastAsia" w:eastAsiaTheme="minorEastAsia"/>
          <w:color w:val="000000" w:themeColor="text1"/>
          <w:sz w:val="24"/>
          <w:szCs w:val="24"/>
        </w:rPr>
        <w:t>中获得甲组</w:t>
      </w:r>
      <w:r>
        <w:rPr>
          <w:rFonts w:cs="仿宋_GB2312" w:asciiTheme="minorEastAsia" w:hAnsiTheme="minorEastAsia" w:eastAsiaTheme="minorEastAsia"/>
          <w:color w:val="000000" w:themeColor="text1"/>
          <w:sz w:val="24"/>
          <w:szCs w:val="24"/>
        </w:rPr>
        <w:t>第一名</w:t>
      </w:r>
      <w:r>
        <w:rPr>
          <w:rFonts w:hint="eastAsia" w:cs="仿宋_GB2312" w:asciiTheme="minorEastAsia" w:hAnsiTheme="minorEastAsia" w:eastAsiaTheme="minorEastAsia"/>
          <w:color w:val="000000" w:themeColor="text1"/>
          <w:sz w:val="24"/>
          <w:szCs w:val="24"/>
        </w:rPr>
        <w:t>；</w:t>
      </w:r>
      <w:r>
        <w:rPr>
          <w:rFonts w:cs="仿宋_GB2312" w:asciiTheme="minorEastAsia" w:hAnsiTheme="minorEastAsia" w:eastAsiaTheme="minorEastAsia"/>
          <w:color w:val="000000" w:themeColor="text1"/>
          <w:sz w:val="24"/>
          <w:szCs w:val="24"/>
        </w:rPr>
        <w:t>羽毛球队</w:t>
      </w:r>
      <w:r>
        <w:rPr>
          <w:rFonts w:hint="eastAsia" w:cs="仿宋_GB2312" w:asciiTheme="minorEastAsia" w:hAnsiTheme="minorEastAsia" w:eastAsiaTheme="minorEastAsia"/>
          <w:color w:val="000000" w:themeColor="text1"/>
          <w:sz w:val="24"/>
          <w:szCs w:val="24"/>
        </w:rPr>
        <w:t>在陕西</w:t>
      </w:r>
      <w:r>
        <w:rPr>
          <w:rFonts w:cs="仿宋_GB2312" w:asciiTheme="minorEastAsia" w:hAnsiTheme="minorEastAsia" w:eastAsiaTheme="minorEastAsia"/>
          <w:color w:val="000000" w:themeColor="text1"/>
          <w:sz w:val="24"/>
          <w:szCs w:val="24"/>
        </w:rPr>
        <w:t>省大学生羽毛球比赛</w:t>
      </w:r>
      <w:r>
        <w:rPr>
          <w:rFonts w:hint="eastAsia" w:cs="仿宋_GB2312" w:asciiTheme="minorEastAsia" w:hAnsiTheme="minorEastAsia" w:eastAsiaTheme="minorEastAsia"/>
          <w:color w:val="000000" w:themeColor="text1"/>
          <w:sz w:val="24"/>
          <w:szCs w:val="24"/>
        </w:rPr>
        <w:t>中获得甲组</w:t>
      </w:r>
      <w:r>
        <w:rPr>
          <w:rFonts w:cs="仿宋_GB2312" w:asciiTheme="minorEastAsia" w:hAnsiTheme="minorEastAsia" w:eastAsiaTheme="minorEastAsia"/>
          <w:color w:val="000000" w:themeColor="text1"/>
          <w:sz w:val="24"/>
          <w:szCs w:val="24"/>
        </w:rPr>
        <w:t>第一名</w:t>
      </w:r>
      <w:r>
        <w:rPr>
          <w:rFonts w:hint="eastAsia" w:cs="仿宋_GB2312" w:asciiTheme="minorEastAsia" w:hAnsiTheme="minorEastAsia" w:eastAsiaTheme="minorEastAsia"/>
          <w:color w:val="000000" w:themeColor="text1"/>
          <w:sz w:val="24"/>
          <w:szCs w:val="24"/>
        </w:rPr>
        <w:t>。</w:t>
      </w:r>
    </w:p>
    <w:p>
      <w:pPr>
        <w:pStyle w:val="4"/>
        <w:spacing w:before="72" w:after="72"/>
      </w:pPr>
      <w:r>
        <w:rPr>
          <w:rFonts w:hint="eastAsia"/>
        </w:rPr>
        <w:t>5.学生学习满意度高</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2014年，学校继续开展学生学习满意度调查。调查按照年级、专业分层抽样，共发放问卷5432份，其中有效问卷5047份，有效率92.91%。调查内容主要包括“专业满意度”、“自身发展满意度”、“课程及教学满意度”以及“学校总体满意度”</w:t>
      </w:r>
      <w:r>
        <w:rPr>
          <w:rFonts w:cs="仿宋_GB2312" w:asciiTheme="minorEastAsia" w:hAnsiTheme="minorEastAsia" w:eastAsiaTheme="minorEastAsia"/>
          <w:color w:val="000000" w:themeColor="text1"/>
          <w:sz w:val="24"/>
          <w:szCs w:val="24"/>
        </w:rPr>
        <w:t>4</w:t>
      </w:r>
      <w:r>
        <w:rPr>
          <w:rFonts w:hint="eastAsia" w:cs="仿宋_GB2312" w:asciiTheme="minorEastAsia" w:hAnsiTheme="minorEastAsia" w:eastAsiaTheme="minorEastAsia"/>
          <w:color w:val="000000" w:themeColor="text1"/>
          <w:sz w:val="24"/>
          <w:szCs w:val="24"/>
        </w:rPr>
        <w:t>个方面、</w:t>
      </w:r>
      <w:r>
        <w:rPr>
          <w:rFonts w:cs="仿宋_GB2312" w:asciiTheme="minorEastAsia" w:hAnsiTheme="minorEastAsia" w:eastAsiaTheme="minorEastAsia"/>
          <w:color w:val="000000" w:themeColor="text1"/>
          <w:sz w:val="24"/>
          <w:szCs w:val="24"/>
        </w:rPr>
        <w:t>117</w:t>
      </w:r>
      <w:r>
        <w:rPr>
          <w:rFonts w:hint="eastAsia" w:cs="仿宋_GB2312" w:asciiTheme="minorEastAsia" w:hAnsiTheme="minorEastAsia" w:eastAsiaTheme="minorEastAsia"/>
          <w:color w:val="000000" w:themeColor="text1"/>
          <w:sz w:val="24"/>
          <w:szCs w:val="24"/>
        </w:rPr>
        <w:t>个问题。</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 xml:space="preserve">在专业满意度上，学生的满意率为94.5%，认为所学专业升学竞争力强的学生比例为91.7%，就业竞争力强的为81.7%，自主创业竞争力强的比例为76.6%，出国竞争力强的比例为81.7%。 </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在自我发展满意度上，学生对自身应具备的17项核心能力构成满意率最高的是“与他人合作、自主学习能力、心理自我调适”三项能力。学生对学校培养活动的满意度高，使得对自身能力的提升普遍满意。</w:t>
      </w:r>
    </w:p>
    <w:p>
      <w:pPr>
        <w:adjustRightInd/>
        <w:snapToGrid/>
        <w:jc w:val="center"/>
        <w:rPr>
          <w:rFonts w:ascii="宋体" w:hAnsi="宋体" w:eastAsia="宋体" w:cs="宋体"/>
          <w:sz w:val="24"/>
          <w:szCs w:val="24"/>
        </w:rPr>
      </w:pPr>
      <w:r>
        <w:rPr>
          <w:rFonts w:ascii="宋体" w:hAnsi="宋体" w:eastAsia="宋体" w:cs="宋体"/>
          <w:sz w:val="24"/>
          <w:szCs w:val="24"/>
        </w:rPr>
        <w:drawing>
          <wp:inline distT="0" distB="0" distL="0" distR="0">
            <wp:extent cx="5846445" cy="3006725"/>
            <wp:effectExtent l="19050" t="0" r="1905" b="0"/>
            <wp:docPr id="4" name="图片 1" descr="D:\Documents\Tencent Files\517732355\Image\C2C\K[QQCZWI{}QY37IRJ~I]0Q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Documents\Tencent Files\517732355\Image\C2C\K[QQCZWI{}QY37IRJ~I]0QJ.png"/>
                    <pic:cNvPicPr>
                      <a:picLocks noChangeAspect="1" noChangeArrowheads="1"/>
                    </pic:cNvPicPr>
                  </pic:nvPicPr>
                  <pic:blipFill>
                    <a:blip r:embed="rId8" cstate="print"/>
                    <a:srcRect/>
                    <a:stretch>
                      <a:fillRect/>
                    </a:stretch>
                  </pic:blipFill>
                  <pic:spPr>
                    <a:xfrm>
                      <a:off x="0" y="0"/>
                      <a:ext cx="5846445" cy="3007002"/>
                    </a:xfrm>
                    <a:prstGeom prst="rect">
                      <a:avLst/>
                    </a:prstGeom>
                    <a:noFill/>
                    <a:ln w="9525">
                      <a:noFill/>
                      <a:miter lim="800000"/>
                      <a:headEnd/>
                      <a:tailEnd/>
                    </a:ln>
                  </pic:spPr>
                </pic:pic>
              </a:graphicData>
            </a:graphic>
          </wp:inline>
        </w:drawing>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在课程教学方面，满意率排序从高到低的是“毕业论文”、“专业课”、“体育类”、“高等数学类”、“实验课”、“实习”、“计算机类”、“全校性选修课”、“大学心理健康类”、“大学物理”、“化学类”、“大学英语类”。其中“毕业论文”最高，达到92.45%；“大学英语类”课程满意率最低为88.1%，学生对课程教学满意度差异性不显著。</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在学校总体满意度上，在调查所列举的9个方面，学生的满意率分别为：“校风学风”占</w:t>
      </w:r>
      <w:r>
        <w:rPr>
          <w:rFonts w:cs="仿宋_GB2312" w:asciiTheme="minorEastAsia" w:hAnsiTheme="minorEastAsia" w:eastAsiaTheme="minorEastAsia"/>
          <w:color w:val="000000" w:themeColor="text1"/>
          <w:sz w:val="24"/>
          <w:szCs w:val="24"/>
        </w:rPr>
        <w:t>85.6%</w:t>
      </w:r>
      <w:r>
        <w:rPr>
          <w:rFonts w:hint="eastAsia" w:cs="仿宋_GB2312" w:asciiTheme="minorEastAsia" w:hAnsiTheme="minorEastAsia" w:eastAsiaTheme="minorEastAsia"/>
          <w:color w:val="000000" w:themeColor="text1"/>
          <w:sz w:val="24"/>
          <w:szCs w:val="24"/>
        </w:rPr>
        <w:t>、“教师整体评价”</w:t>
      </w:r>
      <w:r>
        <w:rPr>
          <w:rFonts w:cs="仿宋_GB2312" w:asciiTheme="minorEastAsia" w:hAnsiTheme="minorEastAsia" w:eastAsiaTheme="minorEastAsia"/>
          <w:color w:val="000000" w:themeColor="text1"/>
          <w:sz w:val="24"/>
          <w:szCs w:val="24"/>
        </w:rPr>
        <w:t xml:space="preserve">85% </w:t>
      </w:r>
      <w:r>
        <w:rPr>
          <w:rFonts w:hint="eastAsia" w:cs="仿宋_GB2312" w:asciiTheme="minorEastAsia" w:hAnsiTheme="minorEastAsia" w:eastAsiaTheme="minorEastAsia"/>
          <w:color w:val="000000" w:themeColor="text1"/>
          <w:sz w:val="24"/>
          <w:szCs w:val="24"/>
        </w:rPr>
        <w:t>、“专业教育”</w:t>
      </w:r>
      <w:r>
        <w:rPr>
          <w:rFonts w:cs="仿宋_GB2312" w:asciiTheme="minorEastAsia" w:hAnsiTheme="minorEastAsia" w:eastAsiaTheme="minorEastAsia"/>
          <w:color w:val="000000" w:themeColor="text1"/>
          <w:sz w:val="24"/>
          <w:szCs w:val="24"/>
        </w:rPr>
        <w:t>82.4%</w:t>
      </w:r>
      <w:r>
        <w:rPr>
          <w:rFonts w:hint="eastAsia" w:cs="仿宋_GB2312" w:asciiTheme="minorEastAsia" w:hAnsiTheme="minorEastAsia" w:eastAsiaTheme="minorEastAsia"/>
          <w:color w:val="000000" w:themeColor="text1"/>
          <w:sz w:val="24"/>
          <w:szCs w:val="24"/>
        </w:rPr>
        <w:t>、“教学管理服务”</w:t>
      </w:r>
      <w:r>
        <w:rPr>
          <w:rFonts w:cs="仿宋_GB2312" w:asciiTheme="minorEastAsia" w:hAnsiTheme="minorEastAsia" w:eastAsiaTheme="minorEastAsia"/>
          <w:color w:val="000000" w:themeColor="text1"/>
          <w:sz w:val="24"/>
          <w:szCs w:val="24"/>
        </w:rPr>
        <w:t>81.8%</w:t>
      </w:r>
      <w:r>
        <w:rPr>
          <w:rFonts w:hint="eastAsia" w:cs="仿宋_GB2312" w:asciiTheme="minorEastAsia" w:hAnsiTheme="minorEastAsia" w:eastAsiaTheme="minorEastAsia"/>
          <w:color w:val="000000" w:themeColor="text1"/>
          <w:sz w:val="24"/>
          <w:szCs w:val="24"/>
        </w:rPr>
        <w:t>、“课程教学”</w:t>
      </w:r>
      <w:r>
        <w:rPr>
          <w:rFonts w:cs="仿宋_GB2312" w:asciiTheme="minorEastAsia" w:hAnsiTheme="minorEastAsia" w:eastAsiaTheme="minorEastAsia"/>
          <w:color w:val="000000" w:themeColor="text1"/>
          <w:sz w:val="24"/>
          <w:szCs w:val="24"/>
        </w:rPr>
        <w:t>80.8%</w:t>
      </w:r>
      <w:r>
        <w:rPr>
          <w:rFonts w:hint="eastAsia" w:cs="仿宋_GB2312" w:asciiTheme="minorEastAsia" w:hAnsiTheme="minorEastAsia" w:eastAsiaTheme="minorEastAsia"/>
          <w:color w:val="000000" w:themeColor="text1"/>
          <w:sz w:val="24"/>
          <w:szCs w:val="24"/>
        </w:rPr>
        <w:t>、“实践（实验）教学设施”</w:t>
      </w:r>
      <w:r>
        <w:rPr>
          <w:rFonts w:cs="仿宋_GB2312" w:asciiTheme="minorEastAsia" w:hAnsiTheme="minorEastAsia" w:eastAsiaTheme="minorEastAsia"/>
          <w:color w:val="000000" w:themeColor="text1"/>
          <w:sz w:val="24"/>
          <w:szCs w:val="24"/>
        </w:rPr>
        <w:t>79.8%</w:t>
      </w:r>
      <w:r>
        <w:rPr>
          <w:rFonts w:hint="eastAsia" w:cs="仿宋_GB2312" w:asciiTheme="minorEastAsia" w:hAnsiTheme="minorEastAsia" w:eastAsiaTheme="minorEastAsia"/>
          <w:color w:val="000000" w:themeColor="text1"/>
          <w:sz w:val="24"/>
          <w:szCs w:val="24"/>
        </w:rPr>
        <w:t>、“文化体育教育”</w:t>
      </w:r>
      <w:r>
        <w:rPr>
          <w:rFonts w:cs="仿宋_GB2312" w:asciiTheme="minorEastAsia" w:hAnsiTheme="minorEastAsia" w:eastAsiaTheme="minorEastAsia"/>
          <w:color w:val="000000" w:themeColor="text1"/>
          <w:sz w:val="24"/>
          <w:szCs w:val="24"/>
        </w:rPr>
        <w:t>79.1%</w:t>
      </w:r>
      <w:r>
        <w:rPr>
          <w:rFonts w:hint="eastAsia" w:cs="仿宋_GB2312" w:asciiTheme="minorEastAsia" w:hAnsiTheme="minorEastAsia" w:eastAsiaTheme="minorEastAsia"/>
          <w:color w:val="000000" w:themeColor="text1"/>
          <w:sz w:val="24"/>
          <w:szCs w:val="24"/>
        </w:rPr>
        <w:t>、“思想品德教育”</w:t>
      </w:r>
      <w:r>
        <w:rPr>
          <w:rFonts w:cs="仿宋_GB2312" w:asciiTheme="minorEastAsia" w:hAnsiTheme="minorEastAsia" w:eastAsiaTheme="minorEastAsia"/>
          <w:color w:val="000000" w:themeColor="text1"/>
          <w:sz w:val="24"/>
          <w:szCs w:val="24"/>
        </w:rPr>
        <w:t>78.6%</w:t>
      </w:r>
      <w:r>
        <w:rPr>
          <w:rFonts w:hint="eastAsia" w:cs="仿宋_GB2312" w:asciiTheme="minorEastAsia" w:hAnsiTheme="minorEastAsia" w:eastAsiaTheme="minorEastAsia"/>
          <w:color w:val="000000" w:themeColor="text1"/>
          <w:sz w:val="24"/>
          <w:szCs w:val="24"/>
        </w:rPr>
        <w:t>、“通识教育”</w:t>
      </w:r>
      <w:r>
        <w:rPr>
          <w:rFonts w:cs="仿宋_GB2312" w:asciiTheme="minorEastAsia" w:hAnsiTheme="minorEastAsia" w:eastAsiaTheme="minorEastAsia"/>
          <w:color w:val="000000" w:themeColor="text1"/>
          <w:sz w:val="24"/>
          <w:szCs w:val="24"/>
        </w:rPr>
        <w:t>74.6%</w:t>
      </w:r>
      <w:r>
        <w:rPr>
          <w:rFonts w:hint="eastAsia" w:cs="仿宋_GB2312" w:asciiTheme="minorEastAsia" w:hAnsiTheme="minorEastAsia" w:eastAsiaTheme="minorEastAsia"/>
          <w:color w:val="000000" w:themeColor="text1"/>
          <w:sz w:val="24"/>
          <w:szCs w:val="24"/>
        </w:rPr>
        <w:t>。学生对学校的总体满意度高。</w:t>
      </w:r>
    </w:p>
    <w:p>
      <w:pPr>
        <w:pStyle w:val="4"/>
        <w:spacing w:beforeLines="0" w:afterLines="0"/>
      </w:pPr>
      <w:r>
        <w:rPr>
          <w:rFonts w:hint="eastAsia"/>
        </w:rPr>
        <w:t>6.毕业生升学和出国深造比例提高</w:t>
      </w:r>
      <w:bookmarkStart w:id="44" w:name="_Toc406011089"/>
      <w:bookmarkStart w:id="45" w:name="_Toc406493347"/>
    </w:p>
    <w:p>
      <w:pPr>
        <w:spacing w:line="400" w:lineRule="exact"/>
        <w:ind w:firstLine="480" w:firstLineChars="200"/>
        <w:rPr>
          <w:rFonts w:ascii="仿宋_GB2312" w:eastAsia="仿宋_GB2312"/>
          <w:b/>
          <w:bCs/>
          <w:color w:val="000000" w:themeColor="text1"/>
          <w:sz w:val="24"/>
          <w:szCs w:val="24"/>
        </w:rPr>
      </w:pPr>
      <w:r>
        <w:rPr>
          <w:rFonts w:hint="eastAsia" w:cs="仿宋_GB2312" w:asciiTheme="minorEastAsia" w:hAnsiTheme="minorEastAsia" w:eastAsiaTheme="minorEastAsia"/>
          <w:color w:val="000000" w:themeColor="text1"/>
          <w:sz w:val="24"/>
          <w:szCs w:val="24"/>
        </w:rPr>
        <w:t xml:space="preserve">2014 年，毕业生升学、出国（境）率为36.22%；其中22个本科专业升学出国（境）率高于40%，传统优势专业生物技术、动物科学、林学、生物工程、水产养殖学、动物医学更是超过了50%；进入“985工程”、“211工程”大学和国家级科研院毕业生占升学总人数的96.85 %；出国（境）留学的学生中，赴欧洲留学占48.54%，赴北美留学占22.82%。     </w:t>
      </w:r>
      <w:r>
        <w:rPr>
          <w:rFonts w:hint="eastAsia" w:ascii="仿宋_GB2312" w:eastAsia="仿宋_GB2312" w:cs="仿宋_GB2312"/>
          <w:color w:val="000000" w:themeColor="text1"/>
          <w:sz w:val="30"/>
          <w:szCs w:val="30"/>
        </w:rPr>
        <w:t xml:space="preserve"> </w:t>
      </w:r>
      <w:r>
        <w:rPr>
          <w:rFonts w:hint="eastAsia" w:ascii="仿宋_GB2312" w:eastAsia="仿宋_GB2312"/>
          <w:b/>
          <w:bCs/>
          <w:color w:val="000000" w:themeColor="text1"/>
          <w:sz w:val="24"/>
          <w:szCs w:val="24"/>
        </w:rPr>
        <w:t xml:space="preserve">  </w:t>
      </w:r>
    </w:p>
    <w:p>
      <w:pPr>
        <w:spacing w:beforeLines="50"/>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drawing>
          <wp:inline distT="0" distB="0" distL="0" distR="0">
            <wp:extent cx="5766435" cy="4998720"/>
            <wp:effectExtent l="0" t="0" r="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9" cstate="print"/>
                    <a:srcRect/>
                    <a:stretch>
                      <a:fillRect/>
                    </a:stretch>
                  </pic:blipFill>
                  <pic:spPr>
                    <a:xfrm>
                      <a:off x="0" y="0"/>
                      <a:ext cx="5793773" cy="5022324"/>
                    </a:xfrm>
                    <a:prstGeom prst="rect">
                      <a:avLst/>
                    </a:prstGeom>
                    <a:noFill/>
                    <a:ln w="9525">
                      <a:noFill/>
                      <a:miter lim="800000"/>
                      <a:headEnd/>
                      <a:tailEnd/>
                    </a:ln>
                  </pic:spPr>
                </pic:pic>
              </a:graphicData>
            </a:graphic>
          </wp:inline>
        </w:drawing>
      </w:r>
    </w:p>
    <w:p>
      <w:pPr>
        <w:spacing w:beforeLines="50"/>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2014届本科毕业生升学出国（境）比例高于40%的专业</w:t>
      </w:r>
    </w:p>
    <w:p>
      <w:pPr>
        <w:spacing w:beforeLines="50"/>
        <w:ind w:firstLine="420" w:firstLineChars="200"/>
        <w:jc w:val="center"/>
        <w:rPr>
          <w:rFonts w:cs="仿宋_GB2312" w:asciiTheme="minorEastAsia" w:hAnsiTheme="minorEastAsia" w:eastAsiaTheme="minorEastAsia"/>
          <w:color w:val="000000" w:themeColor="text1"/>
          <w:sz w:val="21"/>
          <w:szCs w:val="21"/>
        </w:rPr>
      </w:pPr>
    </w:p>
    <w:p>
      <w:pPr>
        <w:pStyle w:val="4"/>
        <w:spacing w:beforeLines="0" w:afterLines="0"/>
      </w:pPr>
      <w:r>
        <w:rPr>
          <w:rFonts w:hint="eastAsia"/>
        </w:rPr>
        <w:t>7.就业率与就业质量稳步提高</w:t>
      </w:r>
    </w:p>
    <w:p>
      <w:pPr>
        <w:topLinePunct/>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2014年，毕业生就业率为94.57%，就业质量和层次不断提升。学校引导和鼓励毕业生在基层和边疆建功立业，95名毕业生在四川、江苏等9个省的基层就业，14名学生成为“西部志愿者”，11名学生参加陕西省“三支一扶”；签约世界500强、中国500强及中国民营500强企业的毕业生占企业就业人数的47.31%； 64.01%的毕业生在国家重点建设经济区域就业；毕业生初次签约薪酬分布较为合理，76.21%的毕业生对初次签约单位表示“非常满意”和“满意”。</w:t>
      </w:r>
    </w:p>
    <w:p>
      <w:pPr>
        <w:tabs>
          <w:tab w:val="left" w:pos="3030"/>
        </w:tabs>
        <w:topLinePunct/>
        <w:spacing w:beforeLines="50"/>
        <w:ind w:firstLine="480" w:firstLineChars="200"/>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drawing>
          <wp:inline distT="0" distB="0" distL="0" distR="0">
            <wp:extent cx="2338070" cy="1944370"/>
            <wp:effectExtent l="19050" t="0" r="5064" b="0"/>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10" cstate="print"/>
                    <a:srcRect/>
                    <a:stretch>
                      <a:fillRect/>
                    </a:stretch>
                  </pic:blipFill>
                  <pic:spPr>
                    <a:xfrm>
                      <a:off x="0" y="0"/>
                      <a:ext cx="2335736" cy="1942592"/>
                    </a:xfrm>
                    <a:prstGeom prst="rect">
                      <a:avLst/>
                    </a:prstGeom>
                    <a:noFill/>
                    <a:ln w="9525">
                      <a:noFill/>
                      <a:miter lim="800000"/>
                      <a:headEnd/>
                      <a:tailEnd/>
                    </a:ln>
                  </pic:spPr>
                </pic:pic>
              </a:graphicData>
            </a:graphic>
          </wp:inline>
        </w:drawing>
      </w:r>
      <w:r>
        <w:rPr>
          <w:rFonts w:hint="eastAsia" w:ascii="仿宋_GB2312" w:eastAsia="仿宋_GB2312" w:cs="仿宋_GB2312"/>
          <w:color w:val="000000" w:themeColor="text1"/>
          <w:sz w:val="24"/>
          <w:szCs w:val="24"/>
        </w:rPr>
        <w:drawing>
          <wp:inline distT="0" distB="0" distL="0" distR="0">
            <wp:extent cx="2568575" cy="2047875"/>
            <wp:effectExtent l="19050" t="0" r="3106"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pic:cNvPicPr>
                      <a:picLocks noChangeAspect="1" noChangeArrowheads="1"/>
                    </pic:cNvPicPr>
                  </pic:nvPicPr>
                  <pic:blipFill>
                    <a:blip r:embed="rId11" cstate="print"/>
                    <a:srcRect/>
                    <a:stretch>
                      <a:fillRect/>
                    </a:stretch>
                  </pic:blipFill>
                  <pic:spPr>
                    <a:xfrm>
                      <a:off x="0" y="0"/>
                      <a:ext cx="2571593" cy="2050263"/>
                    </a:xfrm>
                    <a:prstGeom prst="rect">
                      <a:avLst/>
                    </a:prstGeom>
                    <a:noFill/>
                    <a:ln w="9525">
                      <a:noFill/>
                      <a:miter lim="800000"/>
                      <a:headEnd/>
                      <a:tailEnd/>
                    </a:ln>
                  </pic:spPr>
                </pic:pic>
              </a:graphicData>
            </a:graphic>
          </wp:inline>
        </w:drawing>
      </w:r>
    </w:p>
    <w:p>
      <w:pPr>
        <w:topLinePunct/>
        <w:spacing w:beforeLines="50"/>
        <w:ind w:firstLine="420" w:firstLineChars="200"/>
        <w:jc w:val="center"/>
        <w:rPr>
          <w:rFonts w:ascii="仿宋_GB2312" w:eastAsia="仿宋_GB2312" w:cs="仿宋_GB2312"/>
          <w:color w:val="000000" w:themeColor="text1"/>
          <w:sz w:val="24"/>
          <w:szCs w:val="24"/>
        </w:rPr>
      </w:pPr>
      <w:r>
        <w:rPr>
          <w:rFonts w:hint="eastAsia" w:asciiTheme="minorEastAsia" w:hAnsiTheme="minorEastAsia" w:eastAsiaTheme="minorEastAsia"/>
          <w:bCs/>
          <w:color w:val="000000" w:themeColor="text1"/>
          <w:sz w:val="21"/>
          <w:szCs w:val="21"/>
        </w:rPr>
        <w:t>2014届毕业生就业类型流向</w:t>
      </w:r>
      <w:r>
        <w:rPr>
          <w:rFonts w:hint="eastAsia" w:ascii="仿宋_GB2312" w:eastAsia="仿宋_GB2312"/>
          <w:b/>
          <w:bCs/>
          <w:color w:val="000000" w:themeColor="text1"/>
          <w:sz w:val="24"/>
          <w:szCs w:val="24"/>
        </w:rPr>
        <w:t xml:space="preserve">    </w:t>
      </w:r>
      <w:r>
        <w:rPr>
          <w:rFonts w:hint="eastAsia" w:asciiTheme="minorEastAsia" w:hAnsiTheme="minorEastAsia" w:eastAsiaTheme="minorEastAsia"/>
          <w:bCs/>
          <w:color w:val="000000" w:themeColor="text1"/>
          <w:sz w:val="21"/>
          <w:szCs w:val="21"/>
        </w:rPr>
        <w:t>2014届毕业生对初次签约单位满意度</w:t>
      </w:r>
    </w:p>
    <w:p>
      <w:pPr>
        <w:pStyle w:val="4"/>
        <w:spacing w:before="72" w:after="72"/>
      </w:pPr>
      <w:r>
        <w:rPr>
          <w:rFonts w:hint="eastAsia"/>
        </w:rPr>
        <w:t>8.用人单位对毕业生的评价高</w:t>
      </w:r>
    </w:p>
    <w:p>
      <w:pPr>
        <w:pStyle w:val="21"/>
        <w:spacing w:before="0" w:after="0" w:line="400" w:lineRule="exact"/>
        <w:ind w:left="0" w:leftChars="0" w:right="0" w:rightChars="0" w:firstLine="480" w:firstLineChars="200"/>
        <w:jc w:val="both"/>
        <w:rPr>
          <w:rFonts w:cs="仿宋_GB2312" w:asciiTheme="minorEastAsia" w:hAnsiTheme="minorEastAsia" w:eastAsiaTheme="minorEastAsia"/>
          <w:color w:val="000000" w:themeColor="text1"/>
          <w:kern w:val="0"/>
          <w:szCs w:val="24"/>
        </w:rPr>
      </w:pPr>
      <w:r>
        <w:rPr>
          <w:rFonts w:hint="eastAsia" w:cs="仿宋_GB2312" w:asciiTheme="minorEastAsia" w:hAnsiTheme="minorEastAsia" w:eastAsiaTheme="minorEastAsia"/>
          <w:color w:val="000000" w:themeColor="text1"/>
          <w:kern w:val="0"/>
          <w:szCs w:val="24"/>
        </w:rPr>
        <w:t>2014年,学校利用就业洽谈会等招聘平台，以问卷调查的方式，从知识水平、业务能力、个人素质等方面，对用人单位进行毕业生满意度调查。在接受调查的320家用人单位中，96%的用人单位对我校毕业生素质表示“非常满意”和“满意”，用人单位认为我校毕业生在专业基础知识、实践操作能力、创新能力和团队合作精神等方面具备明显竞争优势。</w:t>
      </w:r>
    </w:p>
    <w:p>
      <w:pPr>
        <w:pStyle w:val="2"/>
        <w:spacing w:before="180" w:after="180"/>
      </w:pPr>
      <w:r>
        <w:rPr>
          <w:rFonts w:hint="eastAsia"/>
        </w:rPr>
        <w:t xml:space="preserve"> </w:t>
      </w:r>
      <w:bookmarkEnd w:id="44"/>
      <w:bookmarkEnd w:id="45"/>
      <w:bookmarkStart w:id="46" w:name="_Toc437350070"/>
      <w:bookmarkStart w:id="47" w:name="_Toc438192377"/>
      <w:r>
        <w:rPr>
          <w:rFonts w:hint="eastAsia"/>
        </w:rPr>
        <w:t>八、本科教育教学工作特色</w:t>
      </w:r>
      <w:bookmarkEnd w:id="46"/>
      <w:bookmarkEnd w:id="47"/>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cs="仿宋_GB2312" w:asciiTheme="minorEastAsia" w:hAnsiTheme="minorEastAsia" w:eastAsiaTheme="minorEastAsia"/>
          <w:color w:val="000000" w:themeColor="text1"/>
        </w:rPr>
        <w:t>学校一代代师生秉承</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经国本，解民生，尚科学</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的办学理念和</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诚朴勇毅</w:t>
      </w:r>
      <w:r>
        <w:rPr>
          <w:rFonts w:hint="eastAsia" w:cs="仿宋_GB2312" w:asciiTheme="minorEastAsia" w:hAnsiTheme="minorEastAsia" w:eastAsiaTheme="minorEastAsia"/>
          <w:color w:val="000000" w:themeColor="text1"/>
        </w:rPr>
        <w:t>”</w:t>
      </w:r>
      <w:r>
        <w:rPr>
          <w:rFonts w:cs="仿宋_GB2312" w:asciiTheme="minorEastAsia" w:hAnsiTheme="minorEastAsia" w:eastAsiaTheme="minorEastAsia"/>
          <w:color w:val="000000" w:themeColor="text1"/>
        </w:rPr>
        <w:t>的校训</w:t>
      </w:r>
      <w:r>
        <w:rPr>
          <w:rFonts w:hint="eastAsia" w:cs="仿宋_GB2312" w:asciiTheme="minorEastAsia" w:hAnsiTheme="minorEastAsia" w:eastAsiaTheme="minorEastAsia"/>
          <w:color w:val="000000" w:themeColor="text1"/>
        </w:rPr>
        <w:t>精神</w:t>
      </w:r>
      <w:r>
        <w:rPr>
          <w:rFonts w:cs="仿宋_GB2312" w:asciiTheme="minorEastAsia" w:hAnsiTheme="minorEastAsia" w:eastAsiaTheme="minorEastAsia"/>
          <w:color w:val="000000" w:themeColor="text1"/>
        </w:rPr>
        <w:t>，坚持</w:t>
      </w:r>
      <w:r>
        <w:rPr>
          <w:rFonts w:hint="eastAsia" w:cs="仿宋_GB2312" w:asciiTheme="minorEastAsia" w:hAnsiTheme="minorEastAsia" w:eastAsiaTheme="minorEastAsia"/>
          <w:color w:val="000000" w:themeColor="text1"/>
        </w:rPr>
        <w:t>立德树人，形成了</w:t>
      </w:r>
      <w:r>
        <w:rPr>
          <w:rFonts w:cs="仿宋_GB2312" w:asciiTheme="minorEastAsia" w:hAnsiTheme="minorEastAsia" w:eastAsiaTheme="minorEastAsia"/>
          <w:color w:val="000000" w:themeColor="text1"/>
        </w:rPr>
        <w:t>产学研紧密结合办学特色</w:t>
      </w:r>
      <w:r>
        <w:rPr>
          <w:rFonts w:hint="eastAsia" w:cs="仿宋_GB2312" w:asciiTheme="minorEastAsia" w:hAnsiTheme="minorEastAsia" w:eastAsiaTheme="minorEastAsia"/>
          <w:color w:val="000000" w:themeColor="text1"/>
        </w:rPr>
        <w:t>，并将其渗透到人才培养的全过程</w:t>
      </w:r>
      <w:r>
        <w:rPr>
          <w:rFonts w:cs="仿宋_GB2312" w:asciiTheme="minorEastAsia" w:hAnsiTheme="minorEastAsia" w:eastAsiaTheme="minorEastAsia"/>
          <w:color w:val="000000" w:themeColor="text1"/>
        </w:rPr>
        <w:t>。</w:t>
      </w:r>
    </w:p>
    <w:p>
      <w:pPr>
        <w:pStyle w:val="4"/>
        <w:spacing w:before="72" w:after="72"/>
      </w:pPr>
      <w:r>
        <w:rPr>
          <w:rFonts w:hint="eastAsia"/>
        </w:rPr>
        <w:t>1.多元化人才培养体系趋于完善</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在长期的办学实践中，把国家需求、行业需求和学生发展需求紧密结合起来，坚持“厚基础、宽口径、强实践、重创新、高素质、国际化”的本科人才培养思路，逐渐形成了多元化人才培养体系。一是创建了“2+X”拔尖创新人才培养模式，形成了以现代生命科学为核心的学科通识教育体系与个性化的人才培养方案。并对课程体系、教材体系、实践体系进行综合改革，突出对卓越农林人才的培养。二是按照不同的学科类型，形成基于学科特性的基础型人才培养体系和应用型人才培养体系。在农科、理科等注重基础理论研究的学科注重基础性人才培养，鼓励学生继续深造；在以工科为主的注重实践应用的学科中，注重应用型人才的培养。三是在人才的专业培养中，设置通识平台课和学科大类平台课实行大类培养，并根据学生就业、创业、升学、留学等个性化需求，设置不同模块化课程以满足分类培养的要求。多元化的培养体系满足了广大学生自主发展的需求，激发了学生成长成才的积极性。</w:t>
      </w:r>
    </w:p>
    <w:p>
      <w:pPr>
        <w:pStyle w:val="4"/>
        <w:spacing w:before="72" w:after="72"/>
      </w:pPr>
      <w:r>
        <w:rPr>
          <w:rFonts w:hint="eastAsia"/>
        </w:rPr>
        <w:t>2.产学研结合的实践教学模式更加牢固</w:t>
      </w:r>
    </w:p>
    <w:p>
      <w:pPr>
        <w:pStyle w:val="11"/>
        <w:widowControl w:val="0"/>
        <w:topLinePunct/>
        <w:spacing w:before="0" w:beforeAutospacing="0" w:after="0" w:afterAutospacing="0" w:line="400" w:lineRule="exact"/>
        <w:ind w:firstLine="480" w:firstLineChars="200"/>
        <w:jc w:val="both"/>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rPr>
        <w:t>学校依托杨凌国家农业高新技术产业示范区的优势，在政府推动下，坚持卓越农林人才的培养目标，将产学研紧密结合落实到各专业人才培养全过程。在教学实践基地建设上，完善以大学为依托的农业科技推广模式建设，成立新农村发展研究院，深化与杨凌示范区的合作，将入区企业纳入学校人才培养实践教学基地。在师资队伍建设上，资助教师积极参与科学研究和技术示范推广工作，鼓励教师将研究和推广中获得的新知识和新信息编入教材、带进课堂；学校聘请杨凌示范区入区企业中的优秀技术专家和骨干，通过作学术报告、指导研究生等方式，丰富教育教学内容。在教学上，学校大力推行创新与技能8学分制，实施大学生科技创新项目，鼓励大学生积极参与社会实践，使产学研紧密结合的人才培养体系不断完善。</w:t>
      </w:r>
    </w:p>
    <w:p>
      <w:pPr>
        <w:pStyle w:val="4"/>
        <w:spacing w:before="72" w:after="72"/>
      </w:pPr>
      <w:r>
        <w:rPr>
          <w:rFonts w:hint="eastAsia"/>
        </w:rPr>
        <w:t>3.人才培养更加注重社会责任</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担当国家使命、致力农业与农村社会发展始终是学校的优良传统。学校的人才培养始终坚持把服务国家的战略需求和人的全面发展有机结合起来，既培养学生的专业素养和能力，又要满足学生个性发展及素质提高，使之成为“人格健全、基础扎实、能力突出、素质全面”、具有鲜明“三农”情怀的卓越人才。除了在专业教育</w:t>
      </w:r>
      <w:r>
        <w:rPr>
          <w:rFonts w:cs="仿宋_GB2312" w:asciiTheme="minorEastAsia" w:hAnsiTheme="minorEastAsia" w:eastAsiaTheme="minorEastAsia"/>
          <w:color w:val="000000" w:themeColor="text1"/>
          <w:sz w:val="24"/>
          <w:szCs w:val="24"/>
        </w:rPr>
        <w:t>中</w:t>
      </w:r>
      <w:r>
        <w:rPr>
          <w:rFonts w:hint="eastAsia" w:cs="仿宋_GB2312" w:asciiTheme="minorEastAsia" w:hAnsiTheme="minorEastAsia" w:eastAsiaTheme="minorEastAsia"/>
          <w:color w:val="000000" w:themeColor="text1"/>
          <w:sz w:val="24"/>
          <w:szCs w:val="24"/>
        </w:rPr>
        <w:t>突出学生</w:t>
      </w:r>
      <w:r>
        <w:rPr>
          <w:rFonts w:cs="仿宋_GB2312" w:asciiTheme="minorEastAsia" w:hAnsiTheme="minorEastAsia" w:eastAsiaTheme="minorEastAsia"/>
          <w:color w:val="000000" w:themeColor="text1"/>
          <w:sz w:val="24"/>
          <w:szCs w:val="24"/>
        </w:rPr>
        <w:t>的能力</w:t>
      </w:r>
      <w:r>
        <w:rPr>
          <w:rFonts w:hint="eastAsia" w:cs="仿宋_GB2312" w:asciiTheme="minorEastAsia" w:hAnsiTheme="minorEastAsia" w:eastAsiaTheme="minorEastAsia"/>
          <w:color w:val="000000" w:themeColor="text1"/>
          <w:sz w:val="24"/>
          <w:szCs w:val="24"/>
        </w:rPr>
        <w:t>培养外</w:t>
      </w:r>
      <w:r>
        <w:rPr>
          <w:rFonts w:cs="仿宋_GB2312" w:asciiTheme="minorEastAsia" w:hAnsiTheme="minorEastAsia" w:eastAsiaTheme="minorEastAsia"/>
          <w:color w:val="000000" w:themeColor="text1"/>
          <w:sz w:val="24"/>
          <w:szCs w:val="24"/>
        </w:rPr>
        <w:t>，</w:t>
      </w:r>
      <w:r>
        <w:rPr>
          <w:rFonts w:hint="eastAsia" w:cs="仿宋_GB2312" w:asciiTheme="minorEastAsia" w:hAnsiTheme="minorEastAsia" w:eastAsiaTheme="minorEastAsia"/>
          <w:color w:val="000000" w:themeColor="text1"/>
          <w:sz w:val="24"/>
          <w:szCs w:val="24"/>
        </w:rPr>
        <w:t>充分利用</w:t>
      </w:r>
      <w:r>
        <w:rPr>
          <w:rFonts w:cs="仿宋_GB2312" w:asciiTheme="minorEastAsia" w:hAnsiTheme="minorEastAsia" w:eastAsiaTheme="minorEastAsia"/>
          <w:color w:val="000000" w:themeColor="text1"/>
          <w:sz w:val="24"/>
          <w:szCs w:val="24"/>
        </w:rPr>
        <w:t>第二课堂和书院教育</w:t>
      </w:r>
      <w:r>
        <w:rPr>
          <w:rFonts w:hint="eastAsia" w:cs="仿宋_GB2312" w:asciiTheme="minorEastAsia" w:hAnsiTheme="minorEastAsia" w:eastAsiaTheme="minorEastAsia"/>
          <w:color w:val="000000" w:themeColor="text1"/>
          <w:sz w:val="24"/>
          <w:szCs w:val="24"/>
        </w:rPr>
        <w:t>等</w:t>
      </w:r>
      <w:r>
        <w:rPr>
          <w:rFonts w:cs="仿宋_GB2312" w:asciiTheme="minorEastAsia" w:hAnsiTheme="minorEastAsia" w:eastAsiaTheme="minorEastAsia"/>
          <w:color w:val="000000" w:themeColor="text1"/>
          <w:sz w:val="24"/>
          <w:szCs w:val="24"/>
        </w:rPr>
        <w:t>多种方式，</w:t>
      </w:r>
      <w:r>
        <w:rPr>
          <w:rFonts w:hint="eastAsia" w:cs="仿宋_GB2312" w:asciiTheme="minorEastAsia" w:hAnsiTheme="minorEastAsia" w:eastAsiaTheme="minorEastAsia"/>
          <w:color w:val="000000" w:themeColor="text1"/>
          <w:sz w:val="24"/>
          <w:szCs w:val="24"/>
        </w:rPr>
        <w:t>把思想引领与农业大学的情感教育结合起来，通过开展主题鲜明、形式多样、内涵丰富的校园文化和实践育人活动，培育学生“三农”情怀，养成励志农业科学、情系三农的思想情感。</w:t>
      </w:r>
    </w:p>
    <w:p>
      <w:pPr>
        <w:pStyle w:val="2"/>
        <w:spacing w:before="180" w:after="180"/>
      </w:pPr>
      <w:bookmarkStart w:id="48" w:name="_Toc437350071"/>
      <w:bookmarkStart w:id="49" w:name="_Toc438192378"/>
      <w:r>
        <w:rPr>
          <w:rFonts w:hint="eastAsia"/>
        </w:rPr>
        <w:t>九</w:t>
      </w:r>
      <w:r>
        <w:t>、</w:t>
      </w:r>
      <w:r>
        <w:rPr>
          <w:rFonts w:hint="eastAsia"/>
        </w:rPr>
        <w:t>存在的问题及解决措施</w:t>
      </w:r>
      <w:bookmarkEnd w:id="48"/>
      <w:bookmarkEnd w:id="49"/>
    </w:p>
    <w:p>
      <w:pPr>
        <w:pStyle w:val="3"/>
        <w:spacing w:before="72" w:after="72"/>
      </w:pPr>
      <w:bookmarkStart w:id="50" w:name="_Toc437350072"/>
      <w:bookmarkStart w:id="51" w:name="_Toc438192379"/>
      <w:r>
        <w:rPr>
          <w:rFonts w:hint="eastAsia"/>
        </w:rPr>
        <w:t>（一）存在的主要问题</w:t>
      </w:r>
      <w:bookmarkEnd w:id="50"/>
      <w:bookmarkEnd w:id="51"/>
    </w:p>
    <w:p>
      <w:pPr>
        <w:pStyle w:val="4"/>
        <w:spacing w:before="72" w:after="72"/>
      </w:pPr>
      <w:r>
        <w:rPr>
          <w:rFonts w:hint="eastAsia"/>
        </w:rPr>
        <w:t>1.专业内涵建设需进一步加强</w:t>
      </w:r>
    </w:p>
    <w:p>
      <w:pPr>
        <w:spacing w:line="400" w:lineRule="exact"/>
        <w:ind w:firstLine="480" w:firstLineChars="200"/>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社会经济发展方式转变、产业结构的转型升级，战略新兴产业的振兴及现代农业和服务业发展，对传统专业的内涵建设提出了新的挑战，学校部分专业的人才培养尚未完全突破传统的范式，与社会经济发展需求及学校总体目标还有一定的差距。</w:t>
      </w:r>
    </w:p>
    <w:p>
      <w:pPr>
        <w:pStyle w:val="4"/>
        <w:spacing w:before="72" w:after="72"/>
      </w:pPr>
      <w:r>
        <w:t>2</w:t>
      </w:r>
      <w:r>
        <w:rPr>
          <w:rFonts w:hint="eastAsia"/>
        </w:rPr>
        <w:t>.数字化的教学资源建设需进一步完善</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信息技术的迅猛发展，现代教育技术的不断革新，对学校的教育教学提出新的要求。网络化教学资源，尤其是虚拟仿真实验室、资源共享课、中国大学MOOC课、尔雅通识课、视频公开课等课程教学资源相对短缺，制约了学校人才培养质量进一步提高。</w:t>
      </w:r>
    </w:p>
    <w:p>
      <w:pPr>
        <w:pStyle w:val="4"/>
        <w:spacing w:before="72" w:after="72"/>
      </w:pPr>
      <w:r>
        <w:rPr>
          <w:rFonts w:hint="eastAsia"/>
        </w:rPr>
        <w:t>3.创新创业教育体系有待进一步深化</w:t>
      </w:r>
    </w:p>
    <w:p>
      <w:pPr>
        <w:spacing w:line="400" w:lineRule="exact"/>
        <w:ind w:firstLine="480" w:firstLineChars="200"/>
        <w:jc w:val="both"/>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创新创业教育思想观念有待进一步加强，创新创业教育还没有完全贯穿于人才培养的整个过程，尤其是创新创业人才培养的教育教学评价考核制度有待完善。校内的创新创业制度和校外的创新创业制度还没有实现无缝对接，在培养过程中需要不断完善创新创业教育的制度体系。</w:t>
      </w:r>
    </w:p>
    <w:p>
      <w:pPr>
        <w:pStyle w:val="3"/>
        <w:spacing w:before="72" w:after="72"/>
      </w:pPr>
      <w:bookmarkStart w:id="52" w:name="_Toc437350073"/>
      <w:bookmarkStart w:id="53" w:name="_Toc438192380"/>
      <w:r>
        <w:rPr>
          <w:rFonts w:hint="eastAsia"/>
        </w:rPr>
        <w:t>（二）解决措施</w:t>
      </w:r>
      <w:bookmarkEnd w:id="52"/>
      <w:bookmarkEnd w:id="53"/>
    </w:p>
    <w:p>
      <w:pPr>
        <w:pStyle w:val="4"/>
        <w:spacing w:before="72" w:after="72"/>
      </w:pPr>
      <w:r>
        <w:rPr>
          <w:rFonts w:hint="eastAsia"/>
        </w:rPr>
        <w:t>1.主动调整优化专业结构</w:t>
      </w:r>
    </w:p>
    <w:p>
      <w:pPr>
        <w:spacing w:line="400" w:lineRule="exact"/>
        <w:ind w:firstLine="480" w:firstLineChars="200"/>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学校需根据经济社会及行业发展需求，瞄准战略性新兴产业的发展、瞄准传统产业的改造升级、瞄准社会建设和公共服务领域对新型人才的需要，主动调整优化专业结构，加强专业内涵建设，满足社会发展需求。</w:t>
      </w:r>
    </w:p>
    <w:p>
      <w:pPr>
        <w:pStyle w:val="4"/>
        <w:spacing w:before="72" w:after="72"/>
      </w:pPr>
      <w:r>
        <w:rPr>
          <w:rFonts w:hint="eastAsia"/>
        </w:rPr>
        <w:t>2.加强优质数字化教学资源建设</w:t>
      </w:r>
    </w:p>
    <w:p>
      <w:pPr>
        <w:spacing w:line="400" w:lineRule="exact"/>
        <w:ind w:firstLine="480" w:firstLineChars="200"/>
        <w:rPr>
          <w:rFonts w:cs="仿宋_GB2312" w:asciiTheme="minorEastAsia" w:hAnsiTheme="minorEastAsia" w:eastAsiaTheme="minorEastAsia"/>
          <w:color w:val="000000" w:themeColor="text1"/>
          <w:sz w:val="24"/>
          <w:szCs w:val="24"/>
        </w:rPr>
      </w:pPr>
      <w:r>
        <w:rPr>
          <w:rFonts w:cs="仿宋_GB2312" w:asciiTheme="minorEastAsia" w:hAnsiTheme="minorEastAsia" w:eastAsiaTheme="minorEastAsia"/>
          <w:color w:val="000000" w:themeColor="text1"/>
          <w:sz w:val="24"/>
          <w:szCs w:val="24"/>
        </w:rPr>
        <w:t>加强优质数字化教育资源的开发、利用和共享，积极整合校内外、国内外的各类优质教育资源，建立开放灵活的教育资源公共服务平台，构建一个每一位师生都能从中受益的网络教学环境，不断完善人才培养机制，提高人才培养质量。</w:t>
      </w:r>
    </w:p>
    <w:p>
      <w:pPr>
        <w:pStyle w:val="4"/>
        <w:spacing w:before="72" w:after="72"/>
      </w:pPr>
      <w:r>
        <w:rPr>
          <w:rFonts w:hint="eastAsia"/>
        </w:rPr>
        <w:t>3.完善创新创业人才培养体系</w:t>
      </w:r>
    </w:p>
    <w:p>
      <w:pPr>
        <w:spacing w:line="400" w:lineRule="exact"/>
        <w:ind w:firstLine="480" w:firstLineChars="200"/>
        <w:rPr>
          <w:rFonts w:cs="仿宋_GB2312" w:asciiTheme="minorEastAsia" w:hAnsiTheme="minorEastAsia" w:eastAsiaTheme="minorEastAsia"/>
          <w:color w:val="000000" w:themeColor="text1"/>
          <w:sz w:val="24"/>
          <w:szCs w:val="24"/>
        </w:rPr>
      </w:pPr>
      <w:r>
        <w:rPr>
          <w:rFonts w:hint="eastAsia" w:cs="仿宋_GB2312" w:asciiTheme="minorEastAsia" w:hAnsiTheme="minorEastAsia" w:eastAsiaTheme="minorEastAsia"/>
          <w:color w:val="000000" w:themeColor="text1"/>
          <w:sz w:val="24"/>
          <w:szCs w:val="24"/>
        </w:rPr>
        <w:t>要将创新创业贯穿于人才培养的全过程，加强协同育人的观念，处理好创新创业人才培养系统的内外部关系，集聚各类资源投入创新创业人才培养，完善学校与有关部门、地方政府、科研院所、行业企业、国外大学等联合培养创新创业人才的新机制，实现资源共享、优势互补、共同发展。</w:t>
      </w:r>
    </w:p>
    <w:sectPr>
      <w:pgSz w:w="11906" w:h="16838"/>
      <w:pgMar w:top="1701" w:right="1588" w:bottom="1418" w:left="1588" w:header="1134" w:footer="992"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r>
      <w:rPr>
        <w:rFonts w:ascii="仿宋_GB2312" w:eastAsia="仿宋_GB2312" w:cs="仿宋_GB2312"/>
        <w:sz w:val="30"/>
        <w:szCs w:val="30"/>
      </w:rPr>
      <w:pict>
        <v:rect id="_x0000_s2057" o:spid="_x0000_s2057" o:spt="1" style="position:absolute;left:0pt;margin-top:0pt;height:10.85pt;width:11.85pt;mso-position-horizontal:center;mso-position-horizontal-relative:margin;mso-wrap-distance-bottom:0pt;mso-wrap-distance-left:0pt;mso-wrap-distance-right:0pt;mso-wrap-distance-top:0pt;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">
          <v:path arrowok="t"/>
          <v:fill on="f" focussize="0,0"/>
          <v:stroke on="f"/>
          <v:imagedata o:title=""/>
          <o:lock v:ext="edit"/>
          <v:textbox inset="1pt,0mm,1pt,0mm" style="mso-fit-shape-to-text:t;">
            <w:txbxContent>
              <w:p>
                <w:pPr>
                  <w:pStyle w:val="7"/>
                  <w:tabs>
                    <w:tab w:val="clear" w:pos="4153"/>
                    <w:tab w:val="clear" w:pos="8306"/>
                  </w:tabs>
                  <w:rPr>
                    <w:rFonts w:ascii="Times New Roman" w:hAnsi="Times New Roman"/>
                    <w:sz w:val="21"/>
                    <w:szCs w:val="21"/>
                  </w:rPr>
                </w:pPr>
                <w:r>
                  <w:rPr>
                    <w:rFonts w:ascii="Times New Roman" w:hAnsi="Times New Roman"/>
                    <w:sz w:val="21"/>
                    <w:szCs w:val="21"/>
                  </w:rPr>
                  <w:fldChar w:fldCharType="begin"/>
                </w:r>
                <w:r>
                  <w:rPr>
                    <w:rStyle w:val="15"/>
                    <w:rFonts w:ascii="Times New Roman" w:hAnsi="Times New Roman"/>
                    <w:sz w:val="21"/>
                    <w:szCs w:val="21"/>
                  </w:rPr>
                  <w:instrText xml:space="preserve">Page</w:instrText>
                </w:r>
                <w:r>
                  <w:rPr>
                    <w:rFonts w:ascii="Times New Roman" w:hAnsi="Times New Roman"/>
                    <w:sz w:val="21"/>
                    <w:szCs w:val="21"/>
                  </w:rPr>
                  <w:fldChar w:fldCharType="separate"/>
                </w:r>
                <w:r>
                  <w:rPr>
                    <w:rStyle w:val="15"/>
                    <w:rFonts w:ascii="Times New Roman" w:hAnsi="Times New Roman"/>
                    <w:sz w:val="21"/>
                    <w:szCs w:val="21"/>
                  </w:rPr>
                  <w:t>13</w:t>
                </w:r>
                <w:r>
                  <w:rPr>
                    <w:rFonts w:ascii="Times New Roman" w:hAnsi="Times New Roman"/>
                    <w:sz w:val="21"/>
                    <w:szCs w:val="21"/>
                  </w:rPr>
                  <w:fldChar w:fldCharType="end"/>
                </w:r>
              </w:p>
            </w:txbxContent>
          </v:textbox>
          <w10:wrap type="square"/>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720"/>
  <w:noPunctuationKerning w:val="1"/>
  <w:characterSpacingControl w:val="doNotCompress"/>
  <w:doNotValidateAgainstSchema/>
  <w:doNotDemarcateInvalidXml/>
  <w:hdrShapeDefaults>
    <o:shapelayout v:ext="edit">
      <o:idmap v:ext="edit" data="2"/>
    </o:shapelayout>
  </w:hdrShapeDefaults>
  <w:compat>
    <w:doNotExpandShiftReturn/>
    <w:useFELayout/>
    <w:compatSetting w:name="compatibilityMode" w:uri="http://schemas.microsoft.com/office/word" w:val="12"/>
  </w:compat>
  <w:rsids>
    <w:rsidRoot w:val="6D087F40"/>
    <w:rsid w:val="00000F1C"/>
    <w:rsid w:val="00001758"/>
    <w:rsid w:val="00010284"/>
    <w:rsid w:val="00026A21"/>
    <w:rsid w:val="000304DF"/>
    <w:rsid w:val="000326B2"/>
    <w:rsid w:val="000562A3"/>
    <w:rsid w:val="000572D8"/>
    <w:rsid w:val="0006074D"/>
    <w:rsid w:val="00074389"/>
    <w:rsid w:val="00077D54"/>
    <w:rsid w:val="0008466E"/>
    <w:rsid w:val="000857AC"/>
    <w:rsid w:val="00096395"/>
    <w:rsid w:val="00096413"/>
    <w:rsid w:val="00097CD0"/>
    <w:rsid w:val="000A6B1C"/>
    <w:rsid w:val="000B4677"/>
    <w:rsid w:val="000B499A"/>
    <w:rsid w:val="000B7022"/>
    <w:rsid w:val="000C1621"/>
    <w:rsid w:val="000C275D"/>
    <w:rsid w:val="000C56C2"/>
    <w:rsid w:val="000C6C42"/>
    <w:rsid w:val="000D2926"/>
    <w:rsid w:val="00106155"/>
    <w:rsid w:val="0011712B"/>
    <w:rsid w:val="001216AC"/>
    <w:rsid w:val="001238CE"/>
    <w:rsid w:val="00123D1E"/>
    <w:rsid w:val="0012535F"/>
    <w:rsid w:val="00127379"/>
    <w:rsid w:val="00131625"/>
    <w:rsid w:val="00140218"/>
    <w:rsid w:val="001416B5"/>
    <w:rsid w:val="00142592"/>
    <w:rsid w:val="00162D84"/>
    <w:rsid w:val="00175379"/>
    <w:rsid w:val="0018128E"/>
    <w:rsid w:val="00185BF1"/>
    <w:rsid w:val="001913DB"/>
    <w:rsid w:val="00196734"/>
    <w:rsid w:val="001A076D"/>
    <w:rsid w:val="001A2BD5"/>
    <w:rsid w:val="001A660C"/>
    <w:rsid w:val="001A7D26"/>
    <w:rsid w:val="001B3F86"/>
    <w:rsid w:val="001B4E0F"/>
    <w:rsid w:val="001C1B6D"/>
    <w:rsid w:val="001C56E7"/>
    <w:rsid w:val="001D01FB"/>
    <w:rsid w:val="001E32F4"/>
    <w:rsid w:val="001E4538"/>
    <w:rsid w:val="00202D7D"/>
    <w:rsid w:val="002041F9"/>
    <w:rsid w:val="00210F44"/>
    <w:rsid w:val="00211C3D"/>
    <w:rsid w:val="00213DD6"/>
    <w:rsid w:val="00222D88"/>
    <w:rsid w:val="00230125"/>
    <w:rsid w:val="0023124B"/>
    <w:rsid w:val="002361FF"/>
    <w:rsid w:val="00241043"/>
    <w:rsid w:val="00242A03"/>
    <w:rsid w:val="00246E69"/>
    <w:rsid w:val="00252482"/>
    <w:rsid w:val="0025599C"/>
    <w:rsid w:val="0025725B"/>
    <w:rsid w:val="00264F03"/>
    <w:rsid w:val="002A52E3"/>
    <w:rsid w:val="002B2F56"/>
    <w:rsid w:val="002B4B85"/>
    <w:rsid w:val="002C65AB"/>
    <w:rsid w:val="00305764"/>
    <w:rsid w:val="0030689A"/>
    <w:rsid w:val="00316CC5"/>
    <w:rsid w:val="00320C09"/>
    <w:rsid w:val="003375D5"/>
    <w:rsid w:val="003477E3"/>
    <w:rsid w:val="003512A6"/>
    <w:rsid w:val="0035145B"/>
    <w:rsid w:val="00355275"/>
    <w:rsid w:val="003573EF"/>
    <w:rsid w:val="00360B8E"/>
    <w:rsid w:val="003626BC"/>
    <w:rsid w:val="00366C75"/>
    <w:rsid w:val="00371451"/>
    <w:rsid w:val="003821CD"/>
    <w:rsid w:val="00386853"/>
    <w:rsid w:val="003919C0"/>
    <w:rsid w:val="003A0885"/>
    <w:rsid w:val="003A1EDB"/>
    <w:rsid w:val="003A2051"/>
    <w:rsid w:val="003A4679"/>
    <w:rsid w:val="003B45B0"/>
    <w:rsid w:val="003B65F7"/>
    <w:rsid w:val="003B67C1"/>
    <w:rsid w:val="003C32CF"/>
    <w:rsid w:val="003C6151"/>
    <w:rsid w:val="003D4F74"/>
    <w:rsid w:val="003F1089"/>
    <w:rsid w:val="003F7082"/>
    <w:rsid w:val="00402CA5"/>
    <w:rsid w:val="004030F4"/>
    <w:rsid w:val="004038C2"/>
    <w:rsid w:val="004223AE"/>
    <w:rsid w:val="00424736"/>
    <w:rsid w:val="004267BA"/>
    <w:rsid w:val="004472A6"/>
    <w:rsid w:val="00450E2B"/>
    <w:rsid w:val="00452617"/>
    <w:rsid w:val="00462E44"/>
    <w:rsid w:val="00465195"/>
    <w:rsid w:val="00470DA4"/>
    <w:rsid w:val="004807E3"/>
    <w:rsid w:val="00485B1D"/>
    <w:rsid w:val="00486C72"/>
    <w:rsid w:val="004912B1"/>
    <w:rsid w:val="00491772"/>
    <w:rsid w:val="004A26C8"/>
    <w:rsid w:val="004A4646"/>
    <w:rsid w:val="004B0BBE"/>
    <w:rsid w:val="004B321C"/>
    <w:rsid w:val="004C2650"/>
    <w:rsid w:val="004C4198"/>
    <w:rsid w:val="004C736B"/>
    <w:rsid w:val="004D50EB"/>
    <w:rsid w:val="004E36C2"/>
    <w:rsid w:val="004E5263"/>
    <w:rsid w:val="004E6281"/>
    <w:rsid w:val="004E761E"/>
    <w:rsid w:val="004F007F"/>
    <w:rsid w:val="004F05FC"/>
    <w:rsid w:val="004F79E5"/>
    <w:rsid w:val="00507F9E"/>
    <w:rsid w:val="005276B0"/>
    <w:rsid w:val="005304E5"/>
    <w:rsid w:val="00540336"/>
    <w:rsid w:val="005405E6"/>
    <w:rsid w:val="00543D96"/>
    <w:rsid w:val="0054471F"/>
    <w:rsid w:val="00554486"/>
    <w:rsid w:val="005761A6"/>
    <w:rsid w:val="00582729"/>
    <w:rsid w:val="00585975"/>
    <w:rsid w:val="00591672"/>
    <w:rsid w:val="00595277"/>
    <w:rsid w:val="005A12A4"/>
    <w:rsid w:val="005B5112"/>
    <w:rsid w:val="005D5857"/>
    <w:rsid w:val="00603B2C"/>
    <w:rsid w:val="0061070B"/>
    <w:rsid w:val="00612FF1"/>
    <w:rsid w:val="00616642"/>
    <w:rsid w:val="00617B33"/>
    <w:rsid w:val="00617F31"/>
    <w:rsid w:val="00621EE7"/>
    <w:rsid w:val="00627BE4"/>
    <w:rsid w:val="00627E55"/>
    <w:rsid w:val="00641E83"/>
    <w:rsid w:val="006520FB"/>
    <w:rsid w:val="00653BA1"/>
    <w:rsid w:val="00661411"/>
    <w:rsid w:val="00671B64"/>
    <w:rsid w:val="00672E6B"/>
    <w:rsid w:val="006869AA"/>
    <w:rsid w:val="006876A9"/>
    <w:rsid w:val="006A36AC"/>
    <w:rsid w:val="006A71BA"/>
    <w:rsid w:val="006B56C2"/>
    <w:rsid w:val="006C7B62"/>
    <w:rsid w:val="006D2C17"/>
    <w:rsid w:val="006D35FE"/>
    <w:rsid w:val="006F49D2"/>
    <w:rsid w:val="006F7398"/>
    <w:rsid w:val="007065D0"/>
    <w:rsid w:val="00707812"/>
    <w:rsid w:val="00722504"/>
    <w:rsid w:val="00727007"/>
    <w:rsid w:val="0073787A"/>
    <w:rsid w:val="0074723F"/>
    <w:rsid w:val="007557FF"/>
    <w:rsid w:val="00762F56"/>
    <w:rsid w:val="00764EE7"/>
    <w:rsid w:val="007777D8"/>
    <w:rsid w:val="00782F60"/>
    <w:rsid w:val="00791AA3"/>
    <w:rsid w:val="00796978"/>
    <w:rsid w:val="007B2EAD"/>
    <w:rsid w:val="007B7F4A"/>
    <w:rsid w:val="007C437E"/>
    <w:rsid w:val="007C4C69"/>
    <w:rsid w:val="007D063C"/>
    <w:rsid w:val="007F1083"/>
    <w:rsid w:val="00802C32"/>
    <w:rsid w:val="00804993"/>
    <w:rsid w:val="0080729D"/>
    <w:rsid w:val="00807660"/>
    <w:rsid w:val="00813D0E"/>
    <w:rsid w:val="00816D91"/>
    <w:rsid w:val="00823B37"/>
    <w:rsid w:val="00832224"/>
    <w:rsid w:val="008322CD"/>
    <w:rsid w:val="008345B3"/>
    <w:rsid w:val="008417DA"/>
    <w:rsid w:val="00843D23"/>
    <w:rsid w:val="00851B71"/>
    <w:rsid w:val="00855263"/>
    <w:rsid w:val="0087069B"/>
    <w:rsid w:val="008707CE"/>
    <w:rsid w:val="00880B7E"/>
    <w:rsid w:val="0088135D"/>
    <w:rsid w:val="00885159"/>
    <w:rsid w:val="0088659E"/>
    <w:rsid w:val="008A6990"/>
    <w:rsid w:val="008B140D"/>
    <w:rsid w:val="008D2E13"/>
    <w:rsid w:val="008D3394"/>
    <w:rsid w:val="008E502E"/>
    <w:rsid w:val="008E7FDA"/>
    <w:rsid w:val="008F1A76"/>
    <w:rsid w:val="008F2CCB"/>
    <w:rsid w:val="008F3E05"/>
    <w:rsid w:val="008F5A64"/>
    <w:rsid w:val="0091570E"/>
    <w:rsid w:val="00921065"/>
    <w:rsid w:val="00923133"/>
    <w:rsid w:val="00940645"/>
    <w:rsid w:val="009427FF"/>
    <w:rsid w:val="00953544"/>
    <w:rsid w:val="00955E45"/>
    <w:rsid w:val="009606F4"/>
    <w:rsid w:val="0096453E"/>
    <w:rsid w:val="009713A1"/>
    <w:rsid w:val="009760CC"/>
    <w:rsid w:val="00993426"/>
    <w:rsid w:val="009C3766"/>
    <w:rsid w:val="009C3977"/>
    <w:rsid w:val="009C6430"/>
    <w:rsid w:val="009C7B2D"/>
    <w:rsid w:val="009E3A14"/>
    <w:rsid w:val="009F0275"/>
    <w:rsid w:val="009F1952"/>
    <w:rsid w:val="009F62F1"/>
    <w:rsid w:val="009F7B81"/>
    <w:rsid w:val="00A044C9"/>
    <w:rsid w:val="00A11F5C"/>
    <w:rsid w:val="00A14DA0"/>
    <w:rsid w:val="00A247BB"/>
    <w:rsid w:val="00A266D1"/>
    <w:rsid w:val="00A31FBD"/>
    <w:rsid w:val="00A5411B"/>
    <w:rsid w:val="00A608B4"/>
    <w:rsid w:val="00A6253D"/>
    <w:rsid w:val="00A62FBF"/>
    <w:rsid w:val="00A66EA7"/>
    <w:rsid w:val="00A71ADD"/>
    <w:rsid w:val="00A7596E"/>
    <w:rsid w:val="00A872A9"/>
    <w:rsid w:val="00A92F27"/>
    <w:rsid w:val="00A96184"/>
    <w:rsid w:val="00AB1826"/>
    <w:rsid w:val="00AB4F9F"/>
    <w:rsid w:val="00AC00A4"/>
    <w:rsid w:val="00AC2123"/>
    <w:rsid w:val="00AC66A5"/>
    <w:rsid w:val="00AC7E04"/>
    <w:rsid w:val="00AD28C9"/>
    <w:rsid w:val="00AE33DA"/>
    <w:rsid w:val="00AE37B4"/>
    <w:rsid w:val="00AE4BD2"/>
    <w:rsid w:val="00AE5BF4"/>
    <w:rsid w:val="00AF3C8B"/>
    <w:rsid w:val="00AF3C97"/>
    <w:rsid w:val="00AF5171"/>
    <w:rsid w:val="00AF59DC"/>
    <w:rsid w:val="00AF6DFB"/>
    <w:rsid w:val="00AF7181"/>
    <w:rsid w:val="00B0635D"/>
    <w:rsid w:val="00B307F6"/>
    <w:rsid w:val="00B50D45"/>
    <w:rsid w:val="00B66DF5"/>
    <w:rsid w:val="00B801C4"/>
    <w:rsid w:val="00B9038F"/>
    <w:rsid w:val="00B92618"/>
    <w:rsid w:val="00B93325"/>
    <w:rsid w:val="00B961D6"/>
    <w:rsid w:val="00BA5E53"/>
    <w:rsid w:val="00BB16E0"/>
    <w:rsid w:val="00BB39B4"/>
    <w:rsid w:val="00BB5386"/>
    <w:rsid w:val="00BB6983"/>
    <w:rsid w:val="00BC542D"/>
    <w:rsid w:val="00BC66C3"/>
    <w:rsid w:val="00BD3DAF"/>
    <w:rsid w:val="00BE16A6"/>
    <w:rsid w:val="00BE2DFE"/>
    <w:rsid w:val="00BE38AA"/>
    <w:rsid w:val="00BF122E"/>
    <w:rsid w:val="00BF4674"/>
    <w:rsid w:val="00BF5D2C"/>
    <w:rsid w:val="00C00DFF"/>
    <w:rsid w:val="00C214E8"/>
    <w:rsid w:val="00C2342D"/>
    <w:rsid w:val="00C249C4"/>
    <w:rsid w:val="00C3035F"/>
    <w:rsid w:val="00C4529F"/>
    <w:rsid w:val="00C50615"/>
    <w:rsid w:val="00C52D62"/>
    <w:rsid w:val="00C66BA2"/>
    <w:rsid w:val="00C66FA5"/>
    <w:rsid w:val="00C67475"/>
    <w:rsid w:val="00C67DAE"/>
    <w:rsid w:val="00C730B3"/>
    <w:rsid w:val="00C815AB"/>
    <w:rsid w:val="00C81747"/>
    <w:rsid w:val="00C86CD7"/>
    <w:rsid w:val="00C86D33"/>
    <w:rsid w:val="00C87134"/>
    <w:rsid w:val="00C87689"/>
    <w:rsid w:val="00CA67A8"/>
    <w:rsid w:val="00CA721C"/>
    <w:rsid w:val="00CB7A37"/>
    <w:rsid w:val="00CC760B"/>
    <w:rsid w:val="00CD006C"/>
    <w:rsid w:val="00CD02B6"/>
    <w:rsid w:val="00CD1661"/>
    <w:rsid w:val="00CD1DC3"/>
    <w:rsid w:val="00CD1EE6"/>
    <w:rsid w:val="00CD3CD2"/>
    <w:rsid w:val="00CD4A90"/>
    <w:rsid w:val="00CD540B"/>
    <w:rsid w:val="00CE054D"/>
    <w:rsid w:val="00CE313E"/>
    <w:rsid w:val="00CE7E57"/>
    <w:rsid w:val="00CF779A"/>
    <w:rsid w:val="00D022FF"/>
    <w:rsid w:val="00D0376A"/>
    <w:rsid w:val="00D04112"/>
    <w:rsid w:val="00D048B0"/>
    <w:rsid w:val="00D105AA"/>
    <w:rsid w:val="00D107AA"/>
    <w:rsid w:val="00D3266B"/>
    <w:rsid w:val="00D406E0"/>
    <w:rsid w:val="00D461B9"/>
    <w:rsid w:val="00D546F7"/>
    <w:rsid w:val="00D70E18"/>
    <w:rsid w:val="00D71FA5"/>
    <w:rsid w:val="00D811C0"/>
    <w:rsid w:val="00D86962"/>
    <w:rsid w:val="00D90F3F"/>
    <w:rsid w:val="00DA1255"/>
    <w:rsid w:val="00DA1C9C"/>
    <w:rsid w:val="00DC1678"/>
    <w:rsid w:val="00DF50E9"/>
    <w:rsid w:val="00E0439C"/>
    <w:rsid w:val="00E04AB5"/>
    <w:rsid w:val="00E2457D"/>
    <w:rsid w:val="00E31AA5"/>
    <w:rsid w:val="00E37C58"/>
    <w:rsid w:val="00E4733C"/>
    <w:rsid w:val="00E54988"/>
    <w:rsid w:val="00E611DC"/>
    <w:rsid w:val="00E636E0"/>
    <w:rsid w:val="00E7175B"/>
    <w:rsid w:val="00E72C48"/>
    <w:rsid w:val="00E843FB"/>
    <w:rsid w:val="00EA7231"/>
    <w:rsid w:val="00EB1491"/>
    <w:rsid w:val="00EB3544"/>
    <w:rsid w:val="00EB35E3"/>
    <w:rsid w:val="00EC3753"/>
    <w:rsid w:val="00EE6827"/>
    <w:rsid w:val="00EF1D82"/>
    <w:rsid w:val="00EF43D5"/>
    <w:rsid w:val="00EF4A5C"/>
    <w:rsid w:val="00F036BB"/>
    <w:rsid w:val="00F04852"/>
    <w:rsid w:val="00F140A1"/>
    <w:rsid w:val="00F21D5F"/>
    <w:rsid w:val="00F22921"/>
    <w:rsid w:val="00F22ABA"/>
    <w:rsid w:val="00F27B8B"/>
    <w:rsid w:val="00F3237B"/>
    <w:rsid w:val="00F372A5"/>
    <w:rsid w:val="00F52D9E"/>
    <w:rsid w:val="00F7662A"/>
    <w:rsid w:val="00F80AA3"/>
    <w:rsid w:val="00FA1A44"/>
    <w:rsid w:val="00FC6872"/>
    <w:rsid w:val="00FC7CF9"/>
    <w:rsid w:val="00FD1168"/>
    <w:rsid w:val="00FD509A"/>
    <w:rsid w:val="00FD78A9"/>
    <w:rsid w:val="00FE7257"/>
    <w:rsid w:val="00FF4B23"/>
    <w:rsid w:val="02B81935"/>
    <w:rsid w:val="045F1924"/>
    <w:rsid w:val="0F812523"/>
    <w:rsid w:val="10FE5785"/>
    <w:rsid w:val="136C24D7"/>
    <w:rsid w:val="199872AB"/>
    <w:rsid w:val="26223A85"/>
    <w:rsid w:val="27E040B8"/>
    <w:rsid w:val="294E73A5"/>
    <w:rsid w:val="2F861B6D"/>
    <w:rsid w:val="381F22CA"/>
    <w:rsid w:val="3C2A2CE5"/>
    <w:rsid w:val="425953D5"/>
    <w:rsid w:val="425B1F5D"/>
    <w:rsid w:val="46674CAD"/>
    <w:rsid w:val="49EC48C7"/>
    <w:rsid w:val="56860AED"/>
    <w:rsid w:val="57294A73"/>
    <w:rsid w:val="5AD94A96"/>
    <w:rsid w:val="619167C9"/>
    <w:rsid w:val="635101EC"/>
    <w:rsid w:val="64823DE1"/>
    <w:rsid w:val="6D087F40"/>
    <w:rsid w:val="7D7628CB"/>
    <w:rsid w:val="7EBB6545"/>
    <w:rsid w:val="7F150179"/>
    <w:rsid w:val="7F332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imes New Roman"/>
      <w:sz w:val="22"/>
      <w:szCs w:val="22"/>
      <w:lang w:val="en-US" w:eastAsia="zh-CN" w:bidi="ar-SA"/>
    </w:rPr>
  </w:style>
  <w:style w:type="paragraph" w:styleId="2">
    <w:name w:val="heading 1"/>
    <w:basedOn w:val="1"/>
    <w:next w:val="1"/>
    <w:link w:val="23"/>
    <w:qFormat/>
    <w:uiPriority w:val="0"/>
    <w:pPr>
      <w:keepNext/>
      <w:keepLines/>
      <w:spacing w:beforeLines="50" w:afterLines="50" w:line="400" w:lineRule="exact"/>
      <w:outlineLvl w:val="0"/>
    </w:pPr>
    <w:rPr>
      <w:rFonts w:eastAsia="黑体"/>
      <w:bCs/>
      <w:kern w:val="44"/>
      <w:sz w:val="30"/>
      <w:szCs w:val="44"/>
    </w:rPr>
  </w:style>
  <w:style w:type="paragraph" w:styleId="3">
    <w:name w:val="heading 2"/>
    <w:basedOn w:val="1"/>
    <w:next w:val="1"/>
    <w:link w:val="24"/>
    <w:unhideWhenUsed/>
    <w:qFormat/>
    <w:uiPriority w:val="0"/>
    <w:pPr>
      <w:keepNext/>
      <w:keepLines/>
      <w:spacing w:beforeLines="20" w:afterLines="20" w:line="400" w:lineRule="exact"/>
      <w:outlineLvl w:val="1"/>
    </w:pPr>
    <w:rPr>
      <w:rFonts w:eastAsia="黑体" w:asciiTheme="majorHAnsi" w:hAnsiTheme="majorHAnsi" w:cstheme="majorBidi"/>
      <w:bCs/>
      <w:sz w:val="28"/>
      <w:szCs w:val="32"/>
    </w:rPr>
  </w:style>
  <w:style w:type="paragraph" w:styleId="4">
    <w:name w:val="heading 3"/>
    <w:basedOn w:val="1"/>
    <w:next w:val="1"/>
    <w:link w:val="25"/>
    <w:unhideWhenUsed/>
    <w:qFormat/>
    <w:uiPriority w:val="0"/>
    <w:pPr>
      <w:keepNext/>
      <w:keepLines/>
      <w:spacing w:beforeLines="20" w:afterLines="20" w:line="400" w:lineRule="exact"/>
      <w:outlineLvl w:val="2"/>
    </w:pPr>
    <w:rPr>
      <w:rFonts w:eastAsia="黑体"/>
      <w:bCs/>
      <w:sz w:val="24"/>
      <w:szCs w:val="32"/>
    </w:rPr>
  </w:style>
  <w:style w:type="paragraph" w:styleId="5">
    <w:name w:val="heading 5"/>
    <w:basedOn w:val="1"/>
    <w:next w:val="1"/>
    <w:qFormat/>
    <w:uiPriority w:val="0"/>
    <w:pPr>
      <w:keepNext/>
      <w:keepLines/>
      <w:widowControl w:val="0"/>
      <w:adjustRightInd/>
      <w:snapToGrid/>
      <w:spacing w:before="280" w:after="290" w:line="376" w:lineRule="auto"/>
      <w:jc w:val="both"/>
      <w:outlineLvl w:val="4"/>
    </w:pPr>
    <w:rPr>
      <w:rFonts w:ascii="Times New Roman" w:hAnsi="Times New Roman" w:eastAsia="宋体"/>
      <w:b/>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alloon Text"/>
    <w:basedOn w:val="1"/>
    <w:qFormat/>
    <w:uiPriority w:val="0"/>
    <w:pPr>
      <w:widowControl w:val="0"/>
      <w:adjustRightInd/>
      <w:snapToGrid/>
      <w:jc w:val="both"/>
    </w:pPr>
    <w:rPr>
      <w:rFonts w:ascii="Times New Roman" w:hAnsi="Times New Roman" w:eastAsia="宋体"/>
      <w:color w:val="000000"/>
      <w:sz w:val="18"/>
      <w:szCs w:val="18"/>
    </w:rPr>
  </w:style>
  <w:style w:type="paragraph" w:styleId="7">
    <w:name w:val="footer"/>
    <w:basedOn w:val="1"/>
    <w:qFormat/>
    <w:uiPriority w:val="0"/>
    <w:pPr>
      <w:tabs>
        <w:tab w:val="center" w:pos="4153"/>
        <w:tab w:val="right" w:pos="8306"/>
      </w:tabs>
    </w:pPr>
    <w:rPr>
      <w:sz w:val="18"/>
      <w:szCs w:val="18"/>
    </w:rPr>
  </w:style>
  <w:style w:type="paragraph" w:styleId="8">
    <w:name w:val="header"/>
    <w:basedOn w:val="1"/>
    <w:qFormat/>
    <w:uiPriority w:val="0"/>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tabs>
        <w:tab w:val="left" w:pos="690"/>
        <w:tab w:val="right" w:leader="dot" w:pos="8720"/>
      </w:tabs>
      <w:adjustRightInd/>
      <w:snapToGrid/>
      <w:spacing w:line="400" w:lineRule="exact"/>
    </w:pPr>
    <w:rPr>
      <w:rFonts w:asciiTheme="minorHAnsi" w:hAnsiTheme="minorHAnsi" w:eastAsiaTheme="minorEastAsia" w:cstheme="minorBidi"/>
      <w:b/>
      <w:sz w:val="24"/>
      <w:szCs w:val="24"/>
    </w:rPr>
  </w:style>
  <w:style w:type="paragraph" w:styleId="10">
    <w:name w:val="toc 2"/>
    <w:basedOn w:val="1"/>
    <w:next w:val="1"/>
    <w:unhideWhenUsed/>
    <w:qFormat/>
    <w:uiPriority w:val="39"/>
    <w:pPr>
      <w:tabs>
        <w:tab w:val="right" w:leader="dot" w:pos="8720"/>
      </w:tabs>
      <w:adjustRightInd/>
      <w:snapToGrid/>
      <w:spacing w:line="560" w:lineRule="exact"/>
      <w:ind w:left="220"/>
    </w:pPr>
    <w:rPr>
      <w:rFonts w:asciiTheme="minorHAnsi" w:hAnsiTheme="minorHAnsi" w:eastAsiaTheme="minorEastAsia" w:cstheme="minorBidi"/>
    </w:rPr>
  </w:style>
  <w:style w:type="paragraph" w:styleId="11">
    <w:name w:val="Normal (Web)"/>
    <w:basedOn w:val="1"/>
    <w:qFormat/>
    <w:uiPriority w:val="0"/>
    <w:pPr>
      <w:adjustRightInd/>
      <w:snapToGrid/>
      <w:spacing w:before="100" w:beforeAutospacing="1" w:after="100" w:afterAutospacing="1"/>
    </w:pPr>
    <w:rPr>
      <w:rFonts w:ascii="宋体" w:eastAsia="宋体" w:cs="宋体"/>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qFormat/>
    <w:uiPriority w:val="0"/>
    <w:rPr>
      <w:color w:val="333333"/>
      <w:u w:val="none"/>
    </w:rPr>
  </w:style>
  <w:style w:type="character" w:styleId="17">
    <w:name w:val="Hyperlink"/>
    <w:qFormat/>
    <w:uiPriority w:val="99"/>
    <w:rPr>
      <w:color w:val="333333"/>
      <w:u w:val="none"/>
    </w:rPr>
  </w:style>
  <w:style w:type="paragraph" w:customStyle="1" w:styleId="18">
    <w:name w:val="列出段落1"/>
    <w:basedOn w:val="1"/>
    <w:unhideWhenUsed/>
    <w:qFormat/>
    <w:uiPriority w:val="34"/>
    <w:pPr>
      <w:ind w:firstLine="420" w:firstLineChars="200"/>
    </w:pPr>
  </w:style>
  <w:style w:type="character" w:customStyle="1" w:styleId="19">
    <w:name w:val="font01"/>
    <w:basedOn w:val="14"/>
    <w:qFormat/>
    <w:uiPriority w:val="0"/>
    <w:rPr>
      <w:rFonts w:hint="eastAsia" w:ascii="宋体" w:hAnsi="宋体" w:eastAsia="宋体" w:cs="宋体"/>
      <w:color w:val="000000"/>
      <w:sz w:val="20"/>
      <w:szCs w:val="20"/>
      <w:u w:val="none"/>
    </w:rPr>
  </w:style>
  <w:style w:type="character" w:customStyle="1" w:styleId="20">
    <w:name w:val="copy"/>
    <w:basedOn w:val="14"/>
    <w:qFormat/>
    <w:uiPriority w:val="0"/>
  </w:style>
  <w:style w:type="paragraph" w:customStyle="1" w:styleId="21">
    <w:name w:val="Title-temp"/>
    <w:basedOn w:val="1"/>
    <w:next w:val="1"/>
    <w:link w:val="22"/>
    <w:qFormat/>
    <w:uiPriority w:val="0"/>
    <w:pPr>
      <w:adjustRightInd/>
      <w:snapToGrid/>
      <w:spacing w:before="120" w:after="120" w:line="276" w:lineRule="auto"/>
      <w:ind w:left="100" w:leftChars="100" w:right="100" w:rightChars="100"/>
      <w:jc w:val="center"/>
    </w:pPr>
    <w:rPr>
      <w:rFonts w:asciiTheme="minorHAnsi" w:hAnsiTheme="minorHAnsi" w:cstheme="minorBidi"/>
      <w:kern w:val="2"/>
      <w:sz w:val="24"/>
    </w:rPr>
  </w:style>
  <w:style w:type="character" w:customStyle="1" w:styleId="22">
    <w:name w:val="Title-temp Char"/>
    <w:basedOn w:val="14"/>
    <w:link w:val="21"/>
    <w:qFormat/>
    <w:uiPriority w:val="0"/>
    <w:rPr>
      <w:rFonts w:eastAsia="微软雅黑" w:asciiTheme="minorHAnsi" w:hAnsiTheme="minorHAnsi" w:cstheme="minorBidi"/>
      <w:kern w:val="2"/>
      <w:sz w:val="24"/>
      <w:szCs w:val="22"/>
    </w:rPr>
  </w:style>
  <w:style w:type="character" w:customStyle="1" w:styleId="23">
    <w:name w:val="标题 1 Char"/>
    <w:basedOn w:val="14"/>
    <w:link w:val="2"/>
    <w:qFormat/>
    <w:uiPriority w:val="0"/>
    <w:rPr>
      <w:rFonts w:ascii="Tahoma" w:hAnsi="Tahoma" w:eastAsia="黑体"/>
      <w:bCs/>
      <w:kern w:val="44"/>
      <w:sz w:val="30"/>
      <w:szCs w:val="44"/>
    </w:rPr>
  </w:style>
  <w:style w:type="character" w:customStyle="1" w:styleId="24">
    <w:name w:val="标题 2 Char"/>
    <w:basedOn w:val="14"/>
    <w:link w:val="3"/>
    <w:qFormat/>
    <w:uiPriority w:val="0"/>
    <w:rPr>
      <w:rFonts w:eastAsia="黑体" w:asciiTheme="majorHAnsi" w:hAnsiTheme="majorHAnsi" w:cstheme="majorBidi"/>
      <w:bCs/>
      <w:sz w:val="28"/>
      <w:szCs w:val="32"/>
    </w:rPr>
  </w:style>
  <w:style w:type="character" w:customStyle="1" w:styleId="25">
    <w:name w:val="标题 3 Char"/>
    <w:basedOn w:val="14"/>
    <w:link w:val="4"/>
    <w:qFormat/>
    <w:uiPriority w:val="0"/>
    <w:rPr>
      <w:rFonts w:ascii="Tahoma" w:hAnsi="Tahoma" w:eastAsia="黑体"/>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Desktop\2014&#24180;&#26412;&#31185;&#25945;&#23398;&#36136;&#37327;&#25253;&#21578;&#20462;&#259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5EAA5-74A3-46DF-8EFC-7FA04C21DBB9}">
  <ds:schemaRefs/>
</ds:datastoreItem>
</file>

<file path=docProps/app.xml><?xml version="1.0" encoding="utf-8"?>
<Properties xmlns="http://schemas.openxmlformats.org/officeDocument/2006/extended-properties" xmlns:vt="http://schemas.openxmlformats.org/officeDocument/2006/docPropsVTypes">
  <Template>2014年本科教学质量报告修改</Template>
  <Company>P R C</Company>
  <Pages>26</Pages>
  <Words>18593</Words>
  <Characters>20308</Characters>
  <Lines>43</Lines>
  <Paragraphs>47</Paragraphs>
  <TotalTime>2</TotalTime>
  <ScaleCrop>false</ScaleCrop>
  <LinksUpToDate>false</LinksUpToDate>
  <CharactersWithSpaces>20684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2015-12-18T01:09:00Z</dcterms:created>
  <dc:creator>yl</dc:creator>
  <cp:lastModifiedBy>刘铂</cp:lastModifiedBy>
  <cp:lastPrinted>2015-12-18T01:02:00Z</cp:lastPrinted>
  <dcterms:modified xsi:type="dcterms:W3CDTF">2022-05-06T13:28:40Z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E2CCE49464974EF884D8BB71E99654CA</vt:lpwstr>
  </property>
</Properties>
</file>